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3526B" w14:textId="145BF463" w:rsidR="003A1D79" w:rsidRPr="00400C0E" w:rsidRDefault="00CF1D82" w:rsidP="007F476C">
      <w:pPr>
        <w:jc w:val="center"/>
        <w:rPr>
          <w:rFonts w:ascii="Arial" w:hAnsi="Arial" w:cs="Arial"/>
          <w:b/>
          <w:bCs/>
          <w:sz w:val="36"/>
          <w:szCs w:val="36"/>
        </w:rPr>
      </w:pPr>
      <w:r w:rsidRPr="00AA62F7">
        <w:rPr>
          <w:rFonts w:ascii="Arial" w:hAnsi="Arial" w:cs="Arial"/>
          <w:b/>
          <w:bCs/>
          <w:sz w:val="36"/>
          <w:szCs w:val="36"/>
        </w:rPr>
        <w:t xml:space="preserve">A protocol for emulating </w:t>
      </w:r>
      <w:r w:rsidR="007C4ECC" w:rsidRPr="00AA62F7">
        <w:rPr>
          <w:rFonts w:ascii="Arial" w:hAnsi="Arial" w:cs="Arial"/>
          <w:b/>
          <w:bCs/>
          <w:sz w:val="36"/>
          <w:szCs w:val="36"/>
        </w:rPr>
        <w:t>four</w:t>
      </w:r>
      <w:r w:rsidRPr="00AA62F7">
        <w:rPr>
          <w:rFonts w:ascii="Arial" w:hAnsi="Arial" w:cs="Arial"/>
          <w:b/>
          <w:bCs/>
          <w:sz w:val="36"/>
          <w:szCs w:val="36"/>
        </w:rPr>
        <w:t xml:space="preserve"> published randomised controlled trial</w:t>
      </w:r>
      <w:r w:rsidR="007C4ECC" w:rsidRPr="00AA62F7">
        <w:rPr>
          <w:rFonts w:ascii="Arial" w:hAnsi="Arial" w:cs="Arial"/>
          <w:b/>
          <w:bCs/>
          <w:sz w:val="36"/>
          <w:szCs w:val="36"/>
        </w:rPr>
        <w:t>s</w:t>
      </w:r>
      <w:r w:rsidRPr="00AA62F7">
        <w:rPr>
          <w:rFonts w:ascii="Arial" w:hAnsi="Arial" w:cs="Arial"/>
          <w:b/>
          <w:bCs/>
          <w:sz w:val="36"/>
          <w:szCs w:val="36"/>
        </w:rPr>
        <w:t xml:space="preserve"> using registry data: effects of </w:t>
      </w:r>
      <w:r w:rsidR="007C4ECC" w:rsidRPr="00AA62F7">
        <w:rPr>
          <w:rFonts w:ascii="Arial" w:hAnsi="Arial" w:cs="Arial"/>
          <w:b/>
          <w:bCs/>
          <w:sz w:val="36"/>
          <w:szCs w:val="36"/>
        </w:rPr>
        <w:t>antibiotics in cystic fibrosis</w:t>
      </w:r>
    </w:p>
    <w:p w14:paraId="5FEB1A48" w14:textId="2F15BF1D" w:rsidR="00CF1D82" w:rsidRDefault="00CF1D82" w:rsidP="00E2234A">
      <w:pPr>
        <w:pBdr>
          <w:top w:val="nil"/>
          <w:left w:val="nil"/>
          <w:bottom w:val="nil"/>
          <w:right w:val="nil"/>
          <w:between w:val="nil"/>
        </w:pBdr>
        <w:jc w:val="center"/>
        <w:rPr>
          <w:rFonts w:ascii="Arial" w:hAnsi="Arial" w:cs="Arial"/>
          <w:color w:val="000000"/>
          <w:sz w:val="24"/>
          <w:szCs w:val="24"/>
        </w:rPr>
      </w:pPr>
      <w:r w:rsidRPr="00AA62F7">
        <w:rPr>
          <w:rFonts w:ascii="Arial" w:hAnsi="Arial" w:cs="Arial"/>
          <w:color w:val="000000"/>
          <w:sz w:val="24"/>
          <w:szCs w:val="24"/>
        </w:rPr>
        <w:t>Emily Granger</w:t>
      </w:r>
      <w:r w:rsidR="001D151A" w:rsidRPr="00B643A5">
        <w:rPr>
          <w:rFonts w:ascii="Arial" w:hAnsi="Arial" w:cs="Arial"/>
          <w:color w:val="000000"/>
          <w:sz w:val="24"/>
          <w:szCs w:val="24"/>
          <w:vertAlign w:val="superscript"/>
        </w:rPr>
        <w:t>1</w:t>
      </w:r>
      <w:r w:rsidRPr="00AA62F7">
        <w:rPr>
          <w:rFonts w:ascii="Arial" w:hAnsi="Arial" w:cs="Arial"/>
          <w:color w:val="000000"/>
          <w:sz w:val="24"/>
          <w:szCs w:val="24"/>
        </w:rPr>
        <w:t xml:space="preserve">, </w:t>
      </w:r>
      <w:r w:rsidR="000041F8" w:rsidRPr="00AA62F7">
        <w:rPr>
          <w:rFonts w:ascii="Arial" w:hAnsi="Arial" w:cs="Arial"/>
          <w:color w:val="000000"/>
          <w:sz w:val="24"/>
          <w:szCs w:val="24"/>
        </w:rPr>
        <w:t>Lorna Allen</w:t>
      </w:r>
      <w:r w:rsidR="001D151A" w:rsidRPr="00B643A5">
        <w:rPr>
          <w:rFonts w:ascii="Arial" w:hAnsi="Arial" w:cs="Arial"/>
          <w:color w:val="000000"/>
          <w:sz w:val="24"/>
          <w:szCs w:val="24"/>
          <w:vertAlign w:val="superscript"/>
        </w:rPr>
        <w:t>2</w:t>
      </w:r>
      <w:r w:rsidR="000041F8" w:rsidRPr="00AA62F7">
        <w:rPr>
          <w:rFonts w:ascii="Arial" w:hAnsi="Arial" w:cs="Arial"/>
          <w:color w:val="000000"/>
          <w:sz w:val="24"/>
          <w:szCs w:val="24"/>
        </w:rPr>
        <w:t>, Susan</w:t>
      </w:r>
      <w:r w:rsidR="00E87A43">
        <w:rPr>
          <w:rFonts w:ascii="Arial" w:hAnsi="Arial" w:cs="Arial"/>
          <w:color w:val="000000"/>
          <w:sz w:val="24"/>
          <w:szCs w:val="24"/>
        </w:rPr>
        <w:t xml:space="preserve"> C</w:t>
      </w:r>
      <w:r w:rsidR="000041F8" w:rsidRPr="00AA62F7">
        <w:rPr>
          <w:rFonts w:ascii="Arial" w:hAnsi="Arial" w:cs="Arial"/>
          <w:color w:val="000000"/>
          <w:sz w:val="24"/>
          <w:szCs w:val="24"/>
        </w:rPr>
        <w:t xml:space="preserve"> Charman</w:t>
      </w:r>
      <w:r w:rsidR="001D151A" w:rsidRPr="00B643A5">
        <w:rPr>
          <w:rFonts w:ascii="Arial" w:hAnsi="Arial" w:cs="Arial"/>
          <w:color w:val="000000"/>
          <w:sz w:val="24"/>
          <w:szCs w:val="24"/>
          <w:vertAlign w:val="superscript"/>
        </w:rPr>
        <w:t>2</w:t>
      </w:r>
      <w:r w:rsidR="000041F8" w:rsidRPr="00AA62F7">
        <w:rPr>
          <w:rFonts w:ascii="Arial" w:hAnsi="Arial" w:cs="Arial"/>
          <w:color w:val="000000"/>
          <w:sz w:val="24"/>
          <w:szCs w:val="24"/>
        </w:rPr>
        <w:t>, Sarah</w:t>
      </w:r>
      <w:r w:rsidR="00E87A43">
        <w:rPr>
          <w:rFonts w:ascii="Arial" w:hAnsi="Arial" w:cs="Arial"/>
          <w:color w:val="000000"/>
          <w:sz w:val="24"/>
          <w:szCs w:val="24"/>
        </w:rPr>
        <w:t xml:space="preserve"> L</w:t>
      </w:r>
      <w:r w:rsidR="000041F8" w:rsidRPr="00AA62F7">
        <w:rPr>
          <w:rFonts w:ascii="Arial" w:hAnsi="Arial" w:cs="Arial"/>
          <w:color w:val="000000"/>
          <w:sz w:val="24"/>
          <w:szCs w:val="24"/>
        </w:rPr>
        <w:t xml:space="preserve"> Clarke</w:t>
      </w:r>
      <w:r w:rsidR="001D151A" w:rsidRPr="00B643A5">
        <w:rPr>
          <w:rFonts w:ascii="Arial" w:hAnsi="Arial" w:cs="Arial"/>
          <w:color w:val="000000"/>
          <w:sz w:val="24"/>
          <w:szCs w:val="24"/>
          <w:vertAlign w:val="superscript"/>
        </w:rPr>
        <w:t>2</w:t>
      </w:r>
      <w:r w:rsidR="000041F8" w:rsidRPr="00AA62F7">
        <w:rPr>
          <w:rFonts w:ascii="Arial" w:hAnsi="Arial" w:cs="Arial"/>
          <w:color w:val="000000"/>
          <w:sz w:val="24"/>
          <w:szCs w:val="24"/>
        </w:rPr>
        <w:t>, Gwyneth Davies</w:t>
      </w:r>
      <w:r w:rsidR="001D151A" w:rsidRPr="00B643A5">
        <w:rPr>
          <w:rFonts w:ascii="Arial" w:hAnsi="Arial" w:cs="Arial"/>
          <w:color w:val="000000"/>
          <w:sz w:val="24"/>
          <w:szCs w:val="24"/>
          <w:vertAlign w:val="superscript"/>
        </w:rPr>
        <w:t>3</w:t>
      </w:r>
      <w:r w:rsidR="000041F8" w:rsidRPr="00AA62F7">
        <w:rPr>
          <w:rFonts w:ascii="Arial" w:hAnsi="Arial" w:cs="Arial"/>
          <w:color w:val="000000"/>
          <w:sz w:val="24"/>
          <w:szCs w:val="24"/>
        </w:rPr>
        <w:t xml:space="preserve">, </w:t>
      </w:r>
      <w:r w:rsidR="002C50B7" w:rsidRPr="00AA62F7">
        <w:rPr>
          <w:rFonts w:ascii="Arial" w:hAnsi="Arial" w:cs="Arial"/>
          <w:color w:val="000000"/>
          <w:sz w:val="24"/>
          <w:szCs w:val="24"/>
        </w:rPr>
        <w:t>Freddy Frost</w:t>
      </w:r>
      <w:r w:rsidR="001D151A" w:rsidRPr="00B643A5">
        <w:rPr>
          <w:rFonts w:ascii="Arial" w:hAnsi="Arial" w:cs="Arial"/>
          <w:color w:val="000000"/>
          <w:sz w:val="24"/>
          <w:szCs w:val="24"/>
          <w:vertAlign w:val="superscript"/>
        </w:rPr>
        <w:t>4</w:t>
      </w:r>
      <w:r w:rsidR="002C50B7" w:rsidRPr="00AA62F7">
        <w:rPr>
          <w:rFonts w:ascii="Arial" w:hAnsi="Arial" w:cs="Arial"/>
          <w:color w:val="000000"/>
          <w:sz w:val="24"/>
          <w:szCs w:val="24"/>
        </w:rPr>
        <w:t>, Hannah Plowman</w:t>
      </w:r>
      <w:r w:rsidR="001D151A" w:rsidRPr="00B643A5">
        <w:rPr>
          <w:rFonts w:ascii="Arial" w:hAnsi="Arial" w:cs="Arial"/>
          <w:color w:val="000000"/>
          <w:sz w:val="24"/>
          <w:szCs w:val="24"/>
          <w:vertAlign w:val="superscript"/>
        </w:rPr>
        <w:t>5</w:t>
      </w:r>
      <w:r w:rsidR="002C50B7" w:rsidRPr="00AA62F7">
        <w:rPr>
          <w:rFonts w:ascii="Arial" w:hAnsi="Arial" w:cs="Arial"/>
          <w:color w:val="000000"/>
          <w:sz w:val="24"/>
          <w:szCs w:val="24"/>
        </w:rPr>
        <w:t xml:space="preserve">, </w:t>
      </w:r>
      <w:r w:rsidR="00CA18C6" w:rsidRPr="00AA62F7">
        <w:rPr>
          <w:rFonts w:ascii="Arial" w:hAnsi="Arial" w:cs="Arial"/>
          <w:color w:val="000000"/>
          <w:sz w:val="24"/>
          <w:szCs w:val="24"/>
        </w:rPr>
        <w:t>Laurie Tomlinson</w:t>
      </w:r>
      <w:r w:rsidR="001D151A" w:rsidRPr="00B643A5">
        <w:rPr>
          <w:rFonts w:ascii="Arial" w:hAnsi="Arial" w:cs="Arial"/>
          <w:color w:val="000000"/>
          <w:sz w:val="24"/>
          <w:szCs w:val="24"/>
          <w:vertAlign w:val="superscript"/>
        </w:rPr>
        <w:t>1</w:t>
      </w:r>
      <w:r w:rsidR="00CA18C6" w:rsidRPr="00AA62F7">
        <w:rPr>
          <w:rFonts w:ascii="Arial" w:hAnsi="Arial" w:cs="Arial"/>
          <w:color w:val="000000"/>
          <w:sz w:val="24"/>
          <w:szCs w:val="24"/>
        </w:rPr>
        <w:t>, Ruth Keogh</w:t>
      </w:r>
      <w:r w:rsidR="001D151A" w:rsidRPr="00B643A5">
        <w:rPr>
          <w:rFonts w:ascii="Arial" w:hAnsi="Arial" w:cs="Arial"/>
          <w:color w:val="000000"/>
          <w:sz w:val="24"/>
          <w:szCs w:val="24"/>
          <w:vertAlign w:val="superscript"/>
        </w:rPr>
        <w:t>1</w:t>
      </w:r>
    </w:p>
    <w:p w14:paraId="2699C98D" w14:textId="57CB72B0" w:rsidR="001D151A" w:rsidRPr="00B643A5" w:rsidRDefault="001D151A" w:rsidP="001D151A">
      <w:pPr>
        <w:pBdr>
          <w:top w:val="nil"/>
          <w:left w:val="nil"/>
          <w:bottom w:val="nil"/>
          <w:right w:val="nil"/>
          <w:between w:val="nil"/>
        </w:pBdr>
        <w:rPr>
          <w:rFonts w:ascii="Arial" w:hAnsi="Arial" w:cs="Arial"/>
          <w:color w:val="000000"/>
          <w:sz w:val="18"/>
          <w:szCs w:val="18"/>
        </w:rPr>
      </w:pPr>
      <w:r w:rsidRPr="00B643A5">
        <w:rPr>
          <w:rFonts w:ascii="Arial" w:hAnsi="Arial" w:cs="Arial"/>
          <w:color w:val="000000"/>
          <w:sz w:val="18"/>
          <w:szCs w:val="18"/>
          <w:vertAlign w:val="superscript"/>
        </w:rPr>
        <w:t>1</w:t>
      </w:r>
      <w:r w:rsidRPr="00B643A5">
        <w:rPr>
          <w:rFonts w:ascii="Arial" w:hAnsi="Arial" w:cs="Arial"/>
          <w:color w:val="000000"/>
          <w:sz w:val="18"/>
          <w:szCs w:val="18"/>
        </w:rPr>
        <w:t xml:space="preserve"> London School of Hygiene and Tropical Medicine, London, UK</w:t>
      </w:r>
    </w:p>
    <w:p w14:paraId="79EF44A9" w14:textId="227EC8A7" w:rsidR="001D151A" w:rsidRPr="00B643A5" w:rsidRDefault="001D151A" w:rsidP="001D151A">
      <w:pPr>
        <w:pBdr>
          <w:top w:val="nil"/>
          <w:left w:val="nil"/>
          <w:bottom w:val="nil"/>
          <w:right w:val="nil"/>
          <w:between w:val="nil"/>
        </w:pBdr>
        <w:rPr>
          <w:rFonts w:ascii="Arial" w:hAnsi="Arial" w:cs="Arial"/>
          <w:color w:val="000000"/>
          <w:sz w:val="18"/>
          <w:szCs w:val="18"/>
        </w:rPr>
      </w:pPr>
      <w:r w:rsidRPr="00B643A5">
        <w:rPr>
          <w:rFonts w:ascii="Arial" w:hAnsi="Arial" w:cs="Arial"/>
          <w:color w:val="000000"/>
          <w:sz w:val="18"/>
          <w:szCs w:val="18"/>
          <w:vertAlign w:val="superscript"/>
        </w:rPr>
        <w:t>2</w:t>
      </w:r>
      <w:r w:rsidRPr="00B643A5">
        <w:rPr>
          <w:rFonts w:ascii="Arial" w:hAnsi="Arial" w:cs="Arial"/>
          <w:color w:val="000000"/>
          <w:sz w:val="18"/>
          <w:szCs w:val="18"/>
        </w:rPr>
        <w:t xml:space="preserve"> UK Cystic Fibrosis Trust, London, UK</w:t>
      </w:r>
    </w:p>
    <w:p w14:paraId="0C7EA845" w14:textId="74E461FE" w:rsidR="00B643A5" w:rsidRPr="00B643A5" w:rsidRDefault="001D151A" w:rsidP="001D151A">
      <w:pPr>
        <w:pBdr>
          <w:top w:val="nil"/>
          <w:left w:val="nil"/>
          <w:bottom w:val="nil"/>
          <w:right w:val="nil"/>
          <w:between w:val="nil"/>
        </w:pBdr>
        <w:rPr>
          <w:rFonts w:ascii="Arial" w:hAnsi="Arial" w:cs="Arial"/>
          <w:color w:val="000000"/>
          <w:sz w:val="18"/>
          <w:szCs w:val="18"/>
        </w:rPr>
      </w:pPr>
      <w:r w:rsidRPr="00B643A5">
        <w:rPr>
          <w:rFonts w:ascii="Arial" w:hAnsi="Arial" w:cs="Arial"/>
          <w:color w:val="000000"/>
          <w:sz w:val="18"/>
          <w:szCs w:val="18"/>
          <w:vertAlign w:val="superscript"/>
        </w:rPr>
        <w:t xml:space="preserve">3 </w:t>
      </w:r>
      <w:r w:rsidR="00B643A5" w:rsidRPr="00B643A5">
        <w:rPr>
          <w:rFonts w:ascii="Arial" w:hAnsi="Arial" w:cs="Arial"/>
          <w:color w:val="000000"/>
          <w:sz w:val="18"/>
          <w:szCs w:val="18"/>
        </w:rPr>
        <w:t>UCL Great Ormond Street Institute of Child Health, London UK</w:t>
      </w:r>
    </w:p>
    <w:p w14:paraId="4B6CEA08" w14:textId="7890375E" w:rsidR="00B643A5" w:rsidRPr="00B643A5" w:rsidRDefault="00B643A5" w:rsidP="001D151A">
      <w:pPr>
        <w:pBdr>
          <w:top w:val="nil"/>
          <w:left w:val="nil"/>
          <w:bottom w:val="nil"/>
          <w:right w:val="nil"/>
          <w:between w:val="nil"/>
        </w:pBdr>
        <w:rPr>
          <w:rFonts w:ascii="Arial" w:hAnsi="Arial" w:cs="Arial"/>
          <w:color w:val="000000"/>
          <w:sz w:val="18"/>
          <w:szCs w:val="18"/>
        </w:rPr>
      </w:pPr>
      <w:r w:rsidRPr="00B643A5">
        <w:rPr>
          <w:rFonts w:ascii="Arial" w:hAnsi="Arial" w:cs="Arial"/>
          <w:color w:val="000000"/>
          <w:sz w:val="18"/>
          <w:szCs w:val="18"/>
          <w:vertAlign w:val="superscript"/>
        </w:rPr>
        <w:t>4</w:t>
      </w:r>
      <w:r w:rsidRPr="00B643A5">
        <w:rPr>
          <w:rFonts w:ascii="Arial" w:hAnsi="Arial" w:cs="Arial"/>
          <w:color w:val="000000"/>
          <w:sz w:val="18"/>
          <w:szCs w:val="18"/>
        </w:rPr>
        <w:t xml:space="preserve"> University of Liverpool, Liverpool, UK</w:t>
      </w:r>
    </w:p>
    <w:p w14:paraId="78FDBB0F" w14:textId="5D14E4EF" w:rsidR="00FF1DF6" w:rsidRDefault="00B643A5" w:rsidP="001D151A">
      <w:pPr>
        <w:pBdr>
          <w:top w:val="nil"/>
          <w:left w:val="nil"/>
          <w:bottom w:val="nil"/>
          <w:right w:val="nil"/>
          <w:between w:val="nil"/>
        </w:pBdr>
        <w:rPr>
          <w:rFonts w:ascii="Arial" w:hAnsi="Arial" w:cs="Arial"/>
          <w:color w:val="000000"/>
          <w:sz w:val="18"/>
          <w:szCs w:val="18"/>
        </w:rPr>
      </w:pPr>
      <w:r w:rsidRPr="00B643A5">
        <w:rPr>
          <w:rFonts w:ascii="Arial" w:hAnsi="Arial" w:cs="Arial"/>
          <w:color w:val="000000"/>
          <w:sz w:val="18"/>
          <w:szCs w:val="18"/>
          <w:vertAlign w:val="superscript"/>
        </w:rPr>
        <w:t>5</w:t>
      </w:r>
      <w:r w:rsidRPr="00B643A5">
        <w:rPr>
          <w:rFonts w:ascii="Arial" w:hAnsi="Arial" w:cs="Arial"/>
          <w:color w:val="000000"/>
          <w:sz w:val="18"/>
          <w:szCs w:val="18"/>
        </w:rPr>
        <w:t xml:space="preserve"> </w:t>
      </w:r>
      <w:r>
        <w:rPr>
          <w:rFonts w:ascii="Arial" w:hAnsi="Arial" w:cs="Arial"/>
          <w:color w:val="000000"/>
          <w:sz w:val="18"/>
          <w:szCs w:val="18"/>
        </w:rPr>
        <w:t xml:space="preserve">Patient and </w:t>
      </w:r>
      <w:r w:rsidR="00C81DC2">
        <w:rPr>
          <w:rFonts w:ascii="Arial" w:hAnsi="Arial" w:cs="Arial"/>
          <w:color w:val="000000"/>
          <w:sz w:val="18"/>
          <w:szCs w:val="18"/>
        </w:rPr>
        <w:t>P</w:t>
      </w:r>
      <w:r>
        <w:rPr>
          <w:rFonts w:ascii="Arial" w:hAnsi="Arial" w:cs="Arial"/>
          <w:color w:val="000000"/>
          <w:sz w:val="18"/>
          <w:szCs w:val="18"/>
        </w:rPr>
        <w:t xml:space="preserve">ublic </w:t>
      </w:r>
      <w:r w:rsidR="00C81DC2">
        <w:rPr>
          <w:rFonts w:ascii="Arial" w:hAnsi="Arial" w:cs="Arial"/>
          <w:color w:val="000000"/>
          <w:sz w:val="18"/>
          <w:szCs w:val="18"/>
        </w:rPr>
        <w:t>I</w:t>
      </w:r>
      <w:r>
        <w:rPr>
          <w:rFonts w:ascii="Arial" w:hAnsi="Arial" w:cs="Arial"/>
          <w:color w:val="000000"/>
          <w:sz w:val="18"/>
          <w:szCs w:val="18"/>
        </w:rPr>
        <w:t>nvolvement</w:t>
      </w:r>
      <w:r w:rsidRPr="00B643A5">
        <w:rPr>
          <w:rFonts w:ascii="Arial" w:hAnsi="Arial" w:cs="Arial"/>
          <w:color w:val="000000"/>
          <w:sz w:val="18"/>
          <w:szCs w:val="18"/>
        </w:rPr>
        <w:t xml:space="preserve"> representative  </w:t>
      </w:r>
      <w:r w:rsidR="001D151A" w:rsidRPr="00B643A5">
        <w:rPr>
          <w:rFonts w:ascii="Arial" w:hAnsi="Arial" w:cs="Arial"/>
          <w:color w:val="000000"/>
          <w:sz w:val="18"/>
          <w:szCs w:val="18"/>
        </w:rPr>
        <w:t xml:space="preserve"> </w:t>
      </w:r>
    </w:p>
    <w:p w14:paraId="20343D19" w14:textId="77777777" w:rsidR="00FF1DF6" w:rsidRDefault="00FF1DF6" w:rsidP="00FF1DF6">
      <w:pPr>
        <w:pStyle w:val="Heading1"/>
      </w:pPr>
      <w:r>
        <w:t>Abstract</w:t>
      </w:r>
    </w:p>
    <w:p w14:paraId="0B77D48E" w14:textId="5BD52953" w:rsidR="00C27F17" w:rsidRDefault="00951B85" w:rsidP="00FF1DF6">
      <w:pPr>
        <w:contextualSpacing/>
        <w:rPr>
          <w:rFonts w:ascii="Arial" w:hAnsi="Arial" w:cs="Arial"/>
          <w:sz w:val="20"/>
          <w:szCs w:val="20"/>
        </w:rPr>
      </w:pPr>
      <w:r>
        <w:rPr>
          <w:rFonts w:ascii="Arial" w:hAnsi="Arial" w:cs="Arial"/>
          <w:b/>
          <w:bCs/>
          <w:sz w:val="20"/>
          <w:szCs w:val="20"/>
        </w:rPr>
        <w:t xml:space="preserve">Background. </w:t>
      </w:r>
      <w:r>
        <w:rPr>
          <w:rFonts w:ascii="Arial" w:hAnsi="Arial" w:cs="Arial"/>
          <w:sz w:val="20"/>
          <w:szCs w:val="20"/>
        </w:rPr>
        <w:t xml:space="preserve">Cystic fibrosis (CF) is an inherited disease affecting over 11,000 people in the UK. People with CF require multiple long-term treatments, and a key research priority in CF is to investigate long-term effects of treatments. Such questions are unlikely to be addressed in randomised controlled trials (RCTs) due to feasibility and cost. </w:t>
      </w:r>
      <w:r w:rsidR="008146B6">
        <w:rPr>
          <w:rFonts w:ascii="Arial" w:hAnsi="Arial" w:cs="Arial"/>
          <w:sz w:val="20"/>
          <w:szCs w:val="20"/>
        </w:rPr>
        <w:t>Real-world data provide an alternative resource for studying treatment effects but come with challenges. Target trial emulation</w:t>
      </w:r>
      <w:r>
        <w:rPr>
          <w:rFonts w:ascii="Arial" w:hAnsi="Arial" w:cs="Arial"/>
          <w:sz w:val="20"/>
          <w:szCs w:val="20"/>
        </w:rPr>
        <w:t xml:space="preserve"> </w:t>
      </w:r>
      <w:r w:rsidR="007E4F0B">
        <w:rPr>
          <w:rFonts w:ascii="Arial" w:hAnsi="Arial" w:cs="Arial"/>
          <w:sz w:val="20"/>
          <w:szCs w:val="20"/>
        </w:rPr>
        <w:t xml:space="preserve">is a framework for studying treatment effects using real-world data, which applies the study design principles of RCTs to help avoid common biases. </w:t>
      </w:r>
      <w:r w:rsidR="00C27F17">
        <w:rPr>
          <w:rFonts w:ascii="Arial" w:hAnsi="Arial" w:cs="Arial"/>
          <w:sz w:val="20"/>
          <w:szCs w:val="20"/>
        </w:rPr>
        <w:t xml:space="preserve">This framework is increasingly used in many disease areas, but it’s use in CF is so far limited. The UK CF Registry is a potential </w:t>
      </w:r>
      <w:r w:rsidR="00581AFD">
        <w:rPr>
          <w:rFonts w:ascii="Arial" w:hAnsi="Arial" w:cs="Arial"/>
          <w:sz w:val="20"/>
          <w:szCs w:val="20"/>
        </w:rPr>
        <w:t>resource for generating real-world evid</w:t>
      </w:r>
      <w:r w:rsidR="004A5214">
        <w:rPr>
          <w:rFonts w:ascii="Arial" w:hAnsi="Arial" w:cs="Arial"/>
          <w:sz w:val="20"/>
          <w:szCs w:val="20"/>
        </w:rPr>
        <w:t xml:space="preserve">ence on treatment effects in CF, but it’s unclear how best to implement target trial emulation methodology using these data. </w:t>
      </w:r>
    </w:p>
    <w:p w14:paraId="25122832" w14:textId="77777777" w:rsidR="00C27F17" w:rsidRDefault="00C27F17" w:rsidP="00FF1DF6">
      <w:pPr>
        <w:contextualSpacing/>
        <w:rPr>
          <w:rFonts w:ascii="Arial" w:hAnsi="Arial" w:cs="Arial"/>
          <w:sz w:val="20"/>
          <w:szCs w:val="20"/>
        </w:rPr>
      </w:pPr>
    </w:p>
    <w:p w14:paraId="26C861EB" w14:textId="47337ED6" w:rsidR="00545F98" w:rsidRDefault="00C27F17" w:rsidP="00FF1DF6">
      <w:pPr>
        <w:contextualSpacing/>
        <w:rPr>
          <w:rFonts w:ascii="Arial" w:hAnsi="Arial" w:cs="Arial"/>
          <w:b/>
          <w:bCs/>
          <w:sz w:val="20"/>
          <w:szCs w:val="20"/>
        </w:rPr>
      </w:pPr>
      <w:r w:rsidRPr="00DD4DCB">
        <w:rPr>
          <w:rFonts w:ascii="Arial" w:hAnsi="Arial" w:cs="Arial"/>
          <w:b/>
          <w:bCs/>
          <w:sz w:val="20"/>
          <w:szCs w:val="20"/>
        </w:rPr>
        <w:t>Aims.</w:t>
      </w:r>
      <w:r>
        <w:rPr>
          <w:rFonts w:ascii="Arial" w:hAnsi="Arial" w:cs="Arial"/>
          <w:sz w:val="20"/>
          <w:szCs w:val="20"/>
        </w:rPr>
        <w:t xml:space="preserve"> We aim this establish best practices for the application of target trial emulation methodology using UK CF Registry data to estimate effects of CF treatments. </w:t>
      </w:r>
      <w:r w:rsidR="00FF1DF6">
        <w:rPr>
          <w:rFonts w:ascii="Arial" w:hAnsi="Arial" w:cs="Arial"/>
          <w:b/>
          <w:bCs/>
          <w:sz w:val="20"/>
          <w:szCs w:val="20"/>
        </w:rPr>
        <w:t xml:space="preserve"> </w:t>
      </w:r>
    </w:p>
    <w:p w14:paraId="4181472D" w14:textId="77777777" w:rsidR="00FF1DF6" w:rsidRDefault="00FF1DF6" w:rsidP="00FF1DF6">
      <w:pPr>
        <w:contextualSpacing/>
        <w:rPr>
          <w:rFonts w:ascii="Arial" w:hAnsi="Arial" w:cs="Arial"/>
          <w:b/>
          <w:bCs/>
          <w:sz w:val="20"/>
          <w:szCs w:val="20"/>
        </w:rPr>
      </w:pPr>
    </w:p>
    <w:p w14:paraId="17946BCE" w14:textId="513951DC" w:rsidR="00FF1DF6" w:rsidRDefault="00FF1DF6" w:rsidP="00FF1DF6">
      <w:pPr>
        <w:contextualSpacing/>
        <w:rPr>
          <w:rFonts w:ascii="Arial" w:hAnsi="Arial" w:cs="Arial"/>
          <w:b/>
          <w:bCs/>
          <w:sz w:val="20"/>
          <w:szCs w:val="20"/>
        </w:rPr>
      </w:pPr>
      <w:r>
        <w:rPr>
          <w:rFonts w:ascii="Arial" w:hAnsi="Arial" w:cs="Arial"/>
          <w:b/>
          <w:bCs/>
          <w:sz w:val="20"/>
          <w:szCs w:val="20"/>
        </w:rPr>
        <w:t>Methods and analysis</w:t>
      </w:r>
      <w:r w:rsidR="00DD4DCB">
        <w:rPr>
          <w:rFonts w:ascii="Arial" w:hAnsi="Arial" w:cs="Arial"/>
          <w:b/>
          <w:bCs/>
          <w:sz w:val="20"/>
          <w:szCs w:val="20"/>
        </w:rPr>
        <w:t>.</w:t>
      </w:r>
      <w:r>
        <w:rPr>
          <w:rFonts w:ascii="Arial" w:hAnsi="Arial" w:cs="Arial"/>
          <w:b/>
          <w:bCs/>
          <w:sz w:val="20"/>
          <w:szCs w:val="20"/>
        </w:rPr>
        <w:t xml:space="preserve"> </w:t>
      </w:r>
      <w:r w:rsidR="004A5214">
        <w:rPr>
          <w:rFonts w:ascii="Arial" w:hAnsi="Arial" w:cs="Arial"/>
          <w:sz w:val="20"/>
          <w:szCs w:val="20"/>
        </w:rPr>
        <w:t xml:space="preserve">We will determine optimal methods for using different components </w:t>
      </w:r>
      <w:r w:rsidR="00F32774">
        <w:rPr>
          <w:rFonts w:ascii="Arial" w:hAnsi="Arial" w:cs="Arial"/>
          <w:sz w:val="20"/>
          <w:szCs w:val="20"/>
        </w:rPr>
        <w:t>of the UK CF Registry data, including data on prescription dates and longitudinal data on clinical variables collected at annual review visits. We will conduct emulations of four published RCTs, which will allow us to compare the different methodological approaches, and help us to establish the best ways of using the registry to define</w:t>
      </w:r>
      <w:r w:rsidR="00B92FB0">
        <w:rPr>
          <w:rFonts w:ascii="Arial" w:hAnsi="Arial" w:cs="Arial"/>
          <w:sz w:val="20"/>
          <w:szCs w:val="20"/>
        </w:rPr>
        <w:t xml:space="preserve"> </w:t>
      </w:r>
      <w:r w:rsidR="00F32774">
        <w:rPr>
          <w:rFonts w:ascii="Arial" w:hAnsi="Arial" w:cs="Arial"/>
          <w:sz w:val="20"/>
          <w:szCs w:val="20"/>
        </w:rPr>
        <w:t xml:space="preserve">the variables needed </w:t>
      </w:r>
      <w:r w:rsidR="00B92FB0">
        <w:rPr>
          <w:rFonts w:ascii="Arial" w:hAnsi="Arial" w:cs="Arial"/>
          <w:sz w:val="20"/>
          <w:szCs w:val="20"/>
        </w:rPr>
        <w:t xml:space="preserve">for target trial emulation and to illustrate its applicability in CF. </w:t>
      </w:r>
    </w:p>
    <w:p w14:paraId="33F88B3D" w14:textId="77777777" w:rsidR="00FF1DF6" w:rsidRDefault="00FF1DF6" w:rsidP="00FF1DF6">
      <w:pPr>
        <w:contextualSpacing/>
        <w:rPr>
          <w:rFonts w:ascii="Arial" w:hAnsi="Arial" w:cs="Arial"/>
          <w:b/>
          <w:bCs/>
          <w:sz w:val="20"/>
          <w:szCs w:val="20"/>
        </w:rPr>
      </w:pPr>
    </w:p>
    <w:p w14:paraId="61026EFC" w14:textId="567EF5F9" w:rsidR="00FF1DF6" w:rsidRDefault="00FF1DF6" w:rsidP="00FF1DF6">
      <w:pPr>
        <w:contextualSpacing/>
        <w:rPr>
          <w:rFonts w:ascii="Arial" w:hAnsi="Arial" w:cs="Arial"/>
          <w:b/>
          <w:bCs/>
          <w:sz w:val="20"/>
          <w:szCs w:val="20"/>
        </w:rPr>
      </w:pPr>
      <w:r>
        <w:rPr>
          <w:rFonts w:ascii="Arial" w:hAnsi="Arial" w:cs="Arial"/>
          <w:b/>
          <w:bCs/>
          <w:sz w:val="20"/>
          <w:szCs w:val="20"/>
        </w:rPr>
        <w:t xml:space="preserve">Ethics and dissemination </w:t>
      </w:r>
      <w:r w:rsidR="008D14E3" w:rsidRPr="00085D2F">
        <w:rPr>
          <w:rFonts w:ascii="Arial" w:hAnsi="Arial" w:cs="Arial"/>
          <w:sz w:val="20"/>
          <w:szCs w:val="20"/>
        </w:rPr>
        <w:t xml:space="preserve">We will seek ethical approval from the London School of Hygiene and Tropical Medicine Ethics Committee. </w:t>
      </w:r>
      <w:r w:rsidRPr="003B5841">
        <w:rPr>
          <w:rFonts w:ascii="Arial" w:hAnsi="Arial" w:cs="Arial"/>
          <w:sz w:val="20"/>
          <w:szCs w:val="20"/>
        </w:rPr>
        <w:t>The results of this study will be published in a peer-reviewed journal and presented at relevant scientific conferences.</w:t>
      </w:r>
      <w:r>
        <w:rPr>
          <w:rFonts w:ascii="Arial" w:hAnsi="Arial" w:cs="Arial"/>
          <w:b/>
          <w:bCs/>
          <w:sz w:val="20"/>
          <w:szCs w:val="20"/>
        </w:rPr>
        <w:t xml:space="preserve"> </w:t>
      </w:r>
    </w:p>
    <w:p w14:paraId="3568B2DB" w14:textId="77777777" w:rsidR="00FF1DF6" w:rsidRDefault="00FF1DF6" w:rsidP="00FF1DF6">
      <w:pPr>
        <w:contextualSpacing/>
        <w:rPr>
          <w:rFonts w:ascii="Arial" w:hAnsi="Arial" w:cs="Arial"/>
          <w:b/>
          <w:bCs/>
          <w:sz w:val="20"/>
          <w:szCs w:val="20"/>
        </w:rPr>
      </w:pPr>
    </w:p>
    <w:p w14:paraId="0CD5DEAD" w14:textId="0A3971CB" w:rsidR="007F476C" w:rsidRDefault="00FF1DF6" w:rsidP="003A1D79">
      <w:pPr>
        <w:contextualSpacing/>
        <w:rPr>
          <w:rFonts w:ascii="Arial" w:hAnsi="Arial" w:cs="Arial"/>
          <w:sz w:val="20"/>
          <w:szCs w:val="20"/>
        </w:rPr>
      </w:pPr>
      <w:r>
        <w:rPr>
          <w:rFonts w:ascii="Arial" w:hAnsi="Arial" w:cs="Arial"/>
          <w:b/>
          <w:bCs/>
          <w:sz w:val="20"/>
          <w:szCs w:val="20"/>
        </w:rPr>
        <w:t xml:space="preserve">Keywords </w:t>
      </w:r>
      <w:r>
        <w:rPr>
          <w:rFonts w:ascii="Arial" w:hAnsi="Arial" w:cs="Arial"/>
          <w:sz w:val="20"/>
          <w:szCs w:val="20"/>
        </w:rPr>
        <w:t xml:space="preserve">cystic fibrosis; registries; observational study; </w:t>
      </w:r>
      <w:r w:rsidR="008D14E3">
        <w:rPr>
          <w:rFonts w:ascii="Arial" w:hAnsi="Arial" w:cs="Arial"/>
          <w:sz w:val="20"/>
          <w:szCs w:val="20"/>
        </w:rPr>
        <w:t>target trial emulation</w:t>
      </w:r>
      <w:r w:rsidR="003A1D79">
        <w:rPr>
          <w:rFonts w:ascii="Arial" w:hAnsi="Arial" w:cs="Arial"/>
          <w:sz w:val="20"/>
          <w:szCs w:val="20"/>
        </w:rPr>
        <w:t xml:space="preserve">. </w:t>
      </w:r>
    </w:p>
    <w:p w14:paraId="1C95C4C7" w14:textId="77777777" w:rsidR="0028767B" w:rsidRDefault="0028767B" w:rsidP="003A1D79">
      <w:pPr>
        <w:contextualSpacing/>
        <w:rPr>
          <w:rFonts w:ascii="Arial" w:hAnsi="Arial" w:cs="Arial"/>
          <w:sz w:val="20"/>
          <w:szCs w:val="20"/>
        </w:rPr>
      </w:pPr>
    </w:p>
    <w:p w14:paraId="099FA0FE" w14:textId="77777777" w:rsidR="0028767B" w:rsidRDefault="0028767B" w:rsidP="003A1D79">
      <w:pPr>
        <w:contextualSpacing/>
        <w:rPr>
          <w:rFonts w:ascii="Arial" w:hAnsi="Arial" w:cs="Arial"/>
          <w:sz w:val="20"/>
          <w:szCs w:val="20"/>
        </w:rPr>
      </w:pPr>
    </w:p>
    <w:p w14:paraId="4AF30617" w14:textId="77777777" w:rsidR="0028767B" w:rsidRDefault="0028767B" w:rsidP="003A1D79">
      <w:pPr>
        <w:contextualSpacing/>
        <w:rPr>
          <w:rFonts w:ascii="Arial" w:hAnsi="Arial" w:cs="Arial"/>
          <w:sz w:val="20"/>
          <w:szCs w:val="20"/>
        </w:rPr>
      </w:pPr>
    </w:p>
    <w:p w14:paraId="177D593F" w14:textId="77777777" w:rsidR="0028767B" w:rsidRDefault="0028767B" w:rsidP="003A1D79">
      <w:pPr>
        <w:contextualSpacing/>
        <w:rPr>
          <w:rFonts w:ascii="Arial" w:hAnsi="Arial" w:cs="Arial"/>
          <w:sz w:val="20"/>
          <w:szCs w:val="20"/>
        </w:rPr>
      </w:pPr>
    </w:p>
    <w:p w14:paraId="2118F9E1" w14:textId="77777777" w:rsidR="0028767B" w:rsidRPr="003A1D79" w:rsidRDefault="0028767B" w:rsidP="003A1D79">
      <w:pPr>
        <w:contextualSpacing/>
        <w:rPr>
          <w:rFonts w:ascii="Arial" w:hAnsi="Arial" w:cs="Arial"/>
          <w:sz w:val="20"/>
          <w:szCs w:val="20"/>
        </w:rPr>
      </w:pPr>
    </w:p>
    <w:p w14:paraId="1908460F" w14:textId="499DABC7" w:rsidR="001B1E05" w:rsidRDefault="0079755F" w:rsidP="001A3E2E">
      <w:pPr>
        <w:pStyle w:val="Heading1"/>
        <w:numPr>
          <w:ilvl w:val="0"/>
          <w:numId w:val="18"/>
        </w:numPr>
      </w:pPr>
      <w:r>
        <w:lastRenderedPageBreak/>
        <w:t xml:space="preserve">Introduction </w:t>
      </w:r>
    </w:p>
    <w:p w14:paraId="3145763F" w14:textId="2E406113" w:rsidR="00173B98" w:rsidRPr="00AA62F7" w:rsidRDefault="00951B85">
      <w:pPr>
        <w:rPr>
          <w:rFonts w:ascii="Arial" w:hAnsi="Arial" w:cs="Arial"/>
          <w:sz w:val="20"/>
          <w:szCs w:val="20"/>
        </w:rPr>
      </w:pPr>
      <w:r>
        <w:rPr>
          <w:rFonts w:ascii="Arial" w:hAnsi="Arial" w:cs="Arial"/>
          <w:sz w:val="20"/>
          <w:szCs w:val="20"/>
        </w:rPr>
        <w:t xml:space="preserve">A </w:t>
      </w:r>
      <w:r w:rsidR="00173B98" w:rsidRPr="00AA62F7">
        <w:rPr>
          <w:rFonts w:ascii="Arial" w:hAnsi="Arial" w:cs="Arial"/>
          <w:sz w:val="20"/>
          <w:szCs w:val="20"/>
        </w:rPr>
        <w:t xml:space="preserve">significant challenge faced by the </w:t>
      </w:r>
      <w:r>
        <w:rPr>
          <w:rFonts w:ascii="Arial" w:hAnsi="Arial" w:cs="Arial"/>
          <w:sz w:val="20"/>
          <w:szCs w:val="20"/>
        </w:rPr>
        <w:t xml:space="preserve">cystic fibrosis (CF) </w:t>
      </w:r>
      <w:r w:rsidR="00173B98" w:rsidRPr="00AA62F7">
        <w:rPr>
          <w:rFonts w:ascii="Arial" w:hAnsi="Arial" w:cs="Arial"/>
          <w:sz w:val="20"/>
          <w:szCs w:val="20"/>
        </w:rPr>
        <w:t xml:space="preserve">community is the wide breadth </w:t>
      </w:r>
      <w:r w:rsidR="00267013">
        <w:rPr>
          <w:rFonts w:ascii="Arial" w:hAnsi="Arial" w:cs="Arial"/>
          <w:sz w:val="20"/>
          <w:szCs w:val="20"/>
        </w:rPr>
        <w:t xml:space="preserve">of </w:t>
      </w:r>
      <w:r w:rsidR="00173B98" w:rsidRPr="00AA62F7">
        <w:rPr>
          <w:rFonts w:ascii="Arial" w:hAnsi="Arial" w:cs="Arial"/>
          <w:sz w:val="20"/>
          <w:szCs w:val="20"/>
        </w:rPr>
        <w:t xml:space="preserve">important clinical questions regarding treatment effectiveness that remain unanswered but are unlikely to be addressed in randomised controlled trials (RCTs), due to feasibility and cost. When RCTs are impractical, </w:t>
      </w:r>
      <w:r w:rsidR="00815E4F">
        <w:rPr>
          <w:rFonts w:ascii="Arial" w:hAnsi="Arial" w:cs="Arial"/>
          <w:sz w:val="20"/>
          <w:szCs w:val="20"/>
        </w:rPr>
        <w:t>an</w:t>
      </w:r>
      <w:r w:rsidR="00173B98" w:rsidRPr="00AA62F7">
        <w:rPr>
          <w:rFonts w:ascii="Arial" w:hAnsi="Arial" w:cs="Arial"/>
          <w:sz w:val="20"/>
          <w:szCs w:val="20"/>
        </w:rPr>
        <w:t xml:space="preserve"> alternative is to use real-world data. However, analyses based on real-world data are often criticized for their susceptibility to bias. Target trial emulation (TTE)</w:t>
      </w:r>
      <w:r w:rsidR="00D25DA1">
        <w:rPr>
          <w:rFonts w:ascii="Arial" w:hAnsi="Arial" w:cs="Arial"/>
          <w:sz w:val="20"/>
          <w:szCs w:val="20"/>
        </w:rPr>
        <w:t xml:space="preserve"> [1]</w:t>
      </w:r>
      <w:r w:rsidR="00C41EE9">
        <w:rPr>
          <w:rFonts w:ascii="Arial" w:hAnsi="Arial" w:cs="Arial"/>
          <w:sz w:val="20"/>
          <w:szCs w:val="20"/>
        </w:rPr>
        <w:t xml:space="preserve">, used alongside </w:t>
      </w:r>
      <w:r w:rsidR="00FA437C">
        <w:rPr>
          <w:rFonts w:ascii="Arial" w:hAnsi="Arial" w:cs="Arial"/>
          <w:sz w:val="20"/>
          <w:szCs w:val="20"/>
        </w:rPr>
        <w:t>appropriate statistical analysis methods,</w:t>
      </w:r>
      <w:r w:rsidR="00173B98" w:rsidRPr="00AA62F7">
        <w:rPr>
          <w:rFonts w:ascii="Arial" w:hAnsi="Arial" w:cs="Arial"/>
          <w:sz w:val="20"/>
          <w:szCs w:val="20"/>
        </w:rPr>
        <w:t xml:space="preserve"> offers a framework for using real-world data to study treatment effects, while helping to avoid common biases</w:t>
      </w:r>
      <w:r w:rsidR="00D25DA1">
        <w:rPr>
          <w:rFonts w:ascii="Arial" w:hAnsi="Arial" w:cs="Arial"/>
          <w:sz w:val="20"/>
          <w:szCs w:val="20"/>
        </w:rPr>
        <w:t xml:space="preserve"> [2-3]</w:t>
      </w:r>
      <w:r w:rsidR="00173B98" w:rsidRPr="00AA62F7">
        <w:rPr>
          <w:rFonts w:ascii="Arial" w:hAnsi="Arial" w:cs="Arial"/>
          <w:sz w:val="20"/>
          <w:szCs w:val="20"/>
        </w:rPr>
        <w:t xml:space="preserve">. </w:t>
      </w:r>
    </w:p>
    <w:p w14:paraId="07A917D0" w14:textId="5EA565BA" w:rsidR="001325DF" w:rsidRPr="00AA62F7" w:rsidRDefault="00445BC2">
      <w:pPr>
        <w:rPr>
          <w:rFonts w:ascii="Arial" w:hAnsi="Arial" w:cs="Arial"/>
          <w:sz w:val="20"/>
          <w:szCs w:val="20"/>
        </w:rPr>
      </w:pPr>
      <w:r w:rsidRPr="00AA62F7">
        <w:rPr>
          <w:rFonts w:ascii="Arial" w:hAnsi="Arial" w:cs="Arial"/>
          <w:sz w:val="20"/>
          <w:szCs w:val="20"/>
        </w:rPr>
        <w:t xml:space="preserve">The TTE framework involves two steps. First, we describe the RCT we would like to conduct – the “target trial” – and secondly, we specify how each element of the target trial protocol will be emulated using real-world data. </w:t>
      </w:r>
      <w:r w:rsidR="000B7AEB" w:rsidRPr="00AA62F7">
        <w:rPr>
          <w:rFonts w:ascii="Arial" w:hAnsi="Arial" w:cs="Arial"/>
          <w:sz w:val="20"/>
          <w:szCs w:val="20"/>
        </w:rPr>
        <w:t>TTE is increasingly used across many disease areas</w:t>
      </w:r>
      <w:r w:rsidR="00B4451D">
        <w:rPr>
          <w:rFonts w:ascii="Arial" w:hAnsi="Arial" w:cs="Arial"/>
          <w:sz w:val="20"/>
          <w:szCs w:val="20"/>
        </w:rPr>
        <w:t xml:space="preserve"> [4-9</w:t>
      </w:r>
      <w:r w:rsidR="0041372B">
        <w:rPr>
          <w:rFonts w:ascii="Arial" w:hAnsi="Arial" w:cs="Arial"/>
          <w:sz w:val="20"/>
          <w:szCs w:val="20"/>
        </w:rPr>
        <w:t>] and</w:t>
      </w:r>
      <w:r w:rsidR="000B7AEB" w:rsidRPr="00AA62F7">
        <w:rPr>
          <w:rFonts w:ascii="Arial" w:hAnsi="Arial" w:cs="Arial"/>
          <w:sz w:val="20"/>
          <w:szCs w:val="20"/>
        </w:rPr>
        <w:t xml:space="preserve"> </w:t>
      </w:r>
      <w:r w:rsidR="002510A4">
        <w:rPr>
          <w:rFonts w:ascii="Arial" w:hAnsi="Arial" w:cs="Arial"/>
          <w:sz w:val="20"/>
          <w:szCs w:val="20"/>
        </w:rPr>
        <w:t>is</w:t>
      </w:r>
      <w:r w:rsidR="000B7AEB" w:rsidRPr="00AA62F7">
        <w:rPr>
          <w:rFonts w:ascii="Arial" w:hAnsi="Arial" w:cs="Arial"/>
          <w:sz w:val="20"/>
          <w:szCs w:val="20"/>
        </w:rPr>
        <w:t xml:space="preserve"> endorsed by the UK’s NICE Real-World Evidence Framework</w:t>
      </w:r>
      <w:r w:rsidR="00B4451D">
        <w:rPr>
          <w:rFonts w:ascii="Arial" w:hAnsi="Arial" w:cs="Arial"/>
          <w:sz w:val="20"/>
          <w:szCs w:val="20"/>
        </w:rPr>
        <w:t xml:space="preserve"> [10]</w:t>
      </w:r>
      <w:r w:rsidR="001325DF" w:rsidRPr="00AA62F7">
        <w:rPr>
          <w:rFonts w:ascii="Arial" w:hAnsi="Arial" w:cs="Arial"/>
          <w:sz w:val="20"/>
          <w:szCs w:val="20"/>
        </w:rPr>
        <w:t xml:space="preserve">. </w:t>
      </w:r>
    </w:p>
    <w:p w14:paraId="594C747D" w14:textId="7E05F2C2" w:rsidR="00F2277E" w:rsidRDefault="00AA3567">
      <w:pPr>
        <w:rPr>
          <w:rFonts w:ascii="Arial" w:hAnsi="Arial" w:cs="Arial"/>
          <w:sz w:val="20"/>
          <w:szCs w:val="20"/>
        </w:rPr>
      </w:pPr>
      <w:r>
        <w:rPr>
          <w:rFonts w:ascii="Arial" w:hAnsi="Arial" w:cs="Arial"/>
          <w:sz w:val="20"/>
          <w:szCs w:val="20"/>
        </w:rPr>
        <w:t>In CF</w:t>
      </w:r>
      <w:r w:rsidR="00A936D3">
        <w:rPr>
          <w:rFonts w:ascii="Arial" w:hAnsi="Arial" w:cs="Arial"/>
          <w:sz w:val="20"/>
          <w:szCs w:val="20"/>
        </w:rPr>
        <w:t>,</w:t>
      </w:r>
      <w:r>
        <w:rPr>
          <w:rFonts w:ascii="Arial" w:hAnsi="Arial" w:cs="Arial"/>
          <w:sz w:val="20"/>
          <w:szCs w:val="20"/>
        </w:rPr>
        <w:t xml:space="preserve"> national patient registries </w:t>
      </w:r>
      <w:r w:rsidR="00B97F3A">
        <w:rPr>
          <w:rFonts w:ascii="Arial" w:hAnsi="Arial" w:cs="Arial"/>
          <w:sz w:val="20"/>
          <w:szCs w:val="20"/>
        </w:rPr>
        <w:t>are a key potential resource for generating evidence on treatment</w:t>
      </w:r>
      <w:r w:rsidR="009318ED">
        <w:rPr>
          <w:rFonts w:ascii="Arial" w:hAnsi="Arial" w:cs="Arial"/>
          <w:sz w:val="20"/>
          <w:szCs w:val="20"/>
        </w:rPr>
        <w:t xml:space="preserve"> effects</w:t>
      </w:r>
      <w:r w:rsidR="00B066BD">
        <w:rPr>
          <w:rFonts w:ascii="Arial" w:hAnsi="Arial" w:cs="Arial"/>
          <w:sz w:val="20"/>
          <w:szCs w:val="20"/>
        </w:rPr>
        <w:t xml:space="preserve"> [11].</w:t>
      </w:r>
      <w:r w:rsidR="009318ED">
        <w:rPr>
          <w:rFonts w:ascii="Arial" w:hAnsi="Arial" w:cs="Arial"/>
          <w:sz w:val="20"/>
          <w:szCs w:val="20"/>
        </w:rPr>
        <w:t xml:space="preserve"> </w:t>
      </w:r>
      <w:r w:rsidR="00F2277E" w:rsidRPr="00AA62F7">
        <w:rPr>
          <w:rFonts w:ascii="Arial" w:hAnsi="Arial" w:cs="Arial"/>
          <w:sz w:val="20"/>
          <w:szCs w:val="20"/>
        </w:rPr>
        <w:t>The UK CF Registry</w:t>
      </w:r>
      <w:r w:rsidR="006F142B">
        <w:rPr>
          <w:rFonts w:ascii="Arial" w:hAnsi="Arial" w:cs="Arial"/>
          <w:sz w:val="20"/>
          <w:szCs w:val="20"/>
        </w:rPr>
        <w:t xml:space="preserve"> [1</w:t>
      </w:r>
      <w:r w:rsidR="00B066BD">
        <w:rPr>
          <w:rFonts w:ascii="Arial" w:hAnsi="Arial" w:cs="Arial"/>
          <w:sz w:val="20"/>
          <w:szCs w:val="20"/>
        </w:rPr>
        <w:t>2</w:t>
      </w:r>
      <w:r w:rsidR="006F142B">
        <w:rPr>
          <w:rFonts w:ascii="Arial" w:hAnsi="Arial" w:cs="Arial"/>
          <w:sz w:val="20"/>
          <w:szCs w:val="20"/>
        </w:rPr>
        <w:t xml:space="preserve">] </w:t>
      </w:r>
      <w:r w:rsidR="00F2277E" w:rsidRPr="00AA62F7">
        <w:rPr>
          <w:rFonts w:ascii="Arial" w:hAnsi="Arial" w:cs="Arial"/>
          <w:sz w:val="20"/>
          <w:szCs w:val="20"/>
        </w:rPr>
        <w:t xml:space="preserve">collects longitudinal data on approximately 99% of all people with CF in the UK. Longitudinal data are collected at approximately annual review visits on variables including clinical measurements, health complications, treatment use, and from 2016, treatment prescription start and stop dates. </w:t>
      </w:r>
      <w:r w:rsidR="00072A79">
        <w:rPr>
          <w:rFonts w:ascii="Arial" w:hAnsi="Arial" w:cs="Arial"/>
          <w:sz w:val="20"/>
          <w:szCs w:val="20"/>
        </w:rPr>
        <w:t xml:space="preserve">The UK CF Registry has been used in recent </w:t>
      </w:r>
      <w:r w:rsidR="004A0F70">
        <w:rPr>
          <w:rFonts w:ascii="Arial" w:hAnsi="Arial" w:cs="Arial"/>
          <w:sz w:val="20"/>
          <w:szCs w:val="20"/>
        </w:rPr>
        <w:t xml:space="preserve">TTEs, </w:t>
      </w:r>
      <w:r w:rsidR="00E34218">
        <w:rPr>
          <w:rFonts w:ascii="Arial" w:hAnsi="Arial" w:cs="Arial"/>
          <w:sz w:val="20"/>
          <w:szCs w:val="20"/>
        </w:rPr>
        <w:t>[1</w:t>
      </w:r>
      <w:r w:rsidR="00B066BD">
        <w:rPr>
          <w:rFonts w:ascii="Arial" w:hAnsi="Arial" w:cs="Arial"/>
          <w:sz w:val="20"/>
          <w:szCs w:val="20"/>
        </w:rPr>
        <w:t>3-15</w:t>
      </w:r>
      <w:r w:rsidR="00E34218">
        <w:rPr>
          <w:rFonts w:ascii="Arial" w:hAnsi="Arial" w:cs="Arial"/>
          <w:sz w:val="20"/>
          <w:szCs w:val="20"/>
        </w:rPr>
        <w:t xml:space="preserve">] </w:t>
      </w:r>
      <w:r w:rsidR="00F2277E" w:rsidRPr="00AA62F7">
        <w:rPr>
          <w:rFonts w:ascii="Arial" w:hAnsi="Arial" w:cs="Arial"/>
          <w:sz w:val="20"/>
          <w:szCs w:val="20"/>
        </w:rPr>
        <w:t>demonstrat</w:t>
      </w:r>
      <w:r w:rsidR="004A0F70">
        <w:rPr>
          <w:rFonts w:ascii="Arial" w:hAnsi="Arial" w:cs="Arial"/>
          <w:sz w:val="20"/>
          <w:szCs w:val="20"/>
        </w:rPr>
        <w:t>ing</w:t>
      </w:r>
      <w:r w:rsidR="00F2277E" w:rsidRPr="00AA62F7">
        <w:rPr>
          <w:rFonts w:ascii="Arial" w:hAnsi="Arial" w:cs="Arial"/>
          <w:sz w:val="20"/>
          <w:szCs w:val="20"/>
        </w:rPr>
        <w:t xml:space="preserve"> the feasibility of this approach within these data. However, the</w:t>
      </w:r>
      <w:r w:rsidR="004A0F70">
        <w:rPr>
          <w:rFonts w:ascii="Arial" w:hAnsi="Arial" w:cs="Arial"/>
          <w:sz w:val="20"/>
          <w:szCs w:val="20"/>
        </w:rPr>
        <w:t>se studies had some</w:t>
      </w:r>
      <w:r w:rsidR="00F2277E" w:rsidRPr="00AA62F7">
        <w:rPr>
          <w:rFonts w:ascii="Arial" w:hAnsi="Arial" w:cs="Arial"/>
          <w:sz w:val="20"/>
          <w:szCs w:val="20"/>
        </w:rPr>
        <w:t xml:space="preserve"> limitations</w:t>
      </w:r>
      <w:r w:rsidR="00E95B35">
        <w:rPr>
          <w:rFonts w:ascii="Arial" w:hAnsi="Arial" w:cs="Arial"/>
          <w:sz w:val="20"/>
          <w:szCs w:val="20"/>
        </w:rPr>
        <w:t>,</w:t>
      </w:r>
      <w:r w:rsidR="00F2277E" w:rsidRPr="00AA62F7">
        <w:rPr>
          <w:rFonts w:ascii="Arial" w:hAnsi="Arial" w:cs="Arial"/>
          <w:sz w:val="20"/>
          <w:szCs w:val="20"/>
        </w:rPr>
        <w:t xml:space="preserve"> includ</w:t>
      </w:r>
      <w:r w:rsidR="00E95B35">
        <w:rPr>
          <w:rFonts w:ascii="Arial" w:hAnsi="Arial" w:cs="Arial"/>
          <w:sz w:val="20"/>
          <w:szCs w:val="20"/>
        </w:rPr>
        <w:t>ing</w:t>
      </w:r>
      <w:r w:rsidR="00F2277E" w:rsidRPr="00AA62F7">
        <w:rPr>
          <w:rFonts w:ascii="Arial" w:hAnsi="Arial" w:cs="Arial"/>
          <w:sz w:val="20"/>
          <w:szCs w:val="20"/>
        </w:rPr>
        <w:t xml:space="preserve"> assuming data were collected on a regular time </w:t>
      </w:r>
      <w:r w:rsidR="00AB75D6" w:rsidRPr="00AA62F7">
        <w:rPr>
          <w:rFonts w:ascii="Arial" w:hAnsi="Arial" w:cs="Arial"/>
          <w:sz w:val="20"/>
          <w:szCs w:val="20"/>
        </w:rPr>
        <w:t>grid and</w:t>
      </w:r>
      <w:r w:rsidR="00F2277E" w:rsidRPr="00AA62F7">
        <w:rPr>
          <w:rFonts w:ascii="Arial" w:hAnsi="Arial" w:cs="Arial"/>
          <w:sz w:val="20"/>
          <w:szCs w:val="20"/>
        </w:rPr>
        <w:t xml:space="preserve"> not making use of treatment prescription dates. </w:t>
      </w:r>
      <w:r w:rsidR="00B66AF3">
        <w:rPr>
          <w:rFonts w:ascii="Arial" w:hAnsi="Arial" w:cs="Arial"/>
          <w:sz w:val="20"/>
          <w:szCs w:val="20"/>
        </w:rPr>
        <w:t>T</w:t>
      </w:r>
      <w:r w:rsidR="00DF047B">
        <w:rPr>
          <w:rFonts w:ascii="Arial" w:hAnsi="Arial" w:cs="Arial"/>
          <w:sz w:val="20"/>
          <w:szCs w:val="20"/>
        </w:rPr>
        <w:t>his work aims to explore</w:t>
      </w:r>
      <w:r w:rsidR="00790B52">
        <w:rPr>
          <w:rFonts w:ascii="Arial" w:hAnsi="Arial" w:cs="Arial"/>
          <w:sz w:val="20"/>
          <w:szCs w:val="20"/>
        </w:rPr>
        <w:t xml:space="preserve"> different ways in which the data can be used, including to </w:t>
      </w:r>
      <w:r w:rsidR="00AA0F30">
        <w:rPr>
          <w:rFonts w:ascii="Arial" w:hAnsi="Arial" w:cs="Arial"/>
          <w:sz w:val="20"/>
          <w:szCs w:val="20"/>
        </w:rPr>
        <w:t>h</w:t>
      </w:r>
      <w:r w:rsidR="00790B52">
        <w:rPr>
          <w:rFonts w:ascii="Arial" w:hAnsi="Arial" w:cs="Arial"/>
          <w:sz w:val="20"/>
          <w:szCs w:val="20"/>
        </w:rPr>
        <w:t>elp overcome these limitations.</w:t>
      </w:r>
      <w:r w:rsidR="00AB75D6" w:rsidRPr="00AA62F7">
        <w:rPr>
          <w:rFonts w:ascii="Arial" w:hAnsi="Arial" w:cs="Arial"/>
          <w:sz w:val="20"/>
          <w:szCs w:val="20"/>
        </w:rPr>
        <w:t xml:space="preserve"> </w:t>
      </w:r>
    </w:p>
    <w:p w14:paraId="4C941B41" w14:textId="128F139C" w:rsidR="0041372B" w:rsidRPr="00AA62F7" w:rsidRDefault="00B66AF3">
      <w:pPr>
        <w:rPr>
          <w:rFonts w:ascii="Arial" w:hAnsi="Arial" w:cs="Arial"/>
          <w:sz w:val="20"/>
          <w:szCs w:val="20"/>
        </w:rPr>
      </w:pPr>
      <w:r>
        <w:rPr>
          <w:rFonts w:ascii="Arial" w:hAnsi="Arial" w:cs="Arial"/>
          <w:sz w:val="20"/>
          <w:szCs w:val="20"/>
        </w:rPr>
        <w:t xml:space="preserve">One approach to assessing the reliability of results obtained using </w:t>
      </w:r>
      <w:r w:rsidR="008A4287">
        <w:rPr>
          <w:rFonts w:ascii="Arial" w:hAnsi="Arial" w:cs="Arial"/>
          <w:sz w:val="20"/>
          <w:szCs w:val="20"/>
        </w:rPr>
        <w:t>TTE</w:t>
      </w:r>
      <w:r>
        <w:rPr>
          <w:rFonts w:ascii="Arial" w:hAnsi="Arial" w:cs="Arial"/>
          <w:sz w:val="20"/>
          <w:szCs w:val="20"/>
        </w:rPr>
        <w:t xml:space="preserve"> is to emulate an existing RCT and compare the results between the trial emulation and the RCT – this is often referred to as “benchmarking” </w:t>
      </w:r>
      <w:r w:rsidR="00D6569C">
        <w:rPr>
          <w:rFonts w:ascii="Arial" w:hAnsi="Arial" w:cs="Arial"/>
          <w:sz w:val="20"/>
          <w:szCs w:val="20"/>
        </w:rPr>
        <w:t xml:space="preserve">[16-17]. </w:t>
      </w:r>
      <w:r>
        <w:rPr>
          <w:rFonts w:ascii="Arial" w:hAnsi="Arial" w:cs="Arial"/>
          <w:sz w:val="20"/>
          <w:szCs w:val="20"/>
        </w:rPr>
        <w:t xml:space="preserve">Benchmarking against an existing trial can </w:t>
      </w:r>
      <w:r w:rsidR="009E485F">
        <w:rPr>
          <w:rFonts w:ascii="Arial" w:hAnsi="Arial" w:cs="Arial"/>
          <w:sz w:val="20"/>
          <w:szCs w:val="20"/>
        </w:rPr>
        <w:t xml:space="preserve">provide </w:t>
      </w:r>
      <w:r>
        <w:rPr>
          <w:rFonts w:ascii="Arial" w:hAnsi="Arial" w:cs="Arial"/>
          <w:sz w:val="20"/>
          <w:szCs w:val="20"/>
        </w:rPr>
        <w:t>evidence on whether observational analyses can be trusted to deliver valid estimates of treatment effects</w:t>
      </w:r>
      <w:r w:rsidR="00D6569C">
        <w:rPr>
          <w:rFonts w:ascii="Arial" w:hAnsi="Arial" w:cs="Arial"/>
          <w:sz w:val="20"/>
          <w:szCs w:val="20"/>
        </w:rPr>
        <w:t xml:space="preserve"> [16]</w:t>
      </w:r>
      <w:r>
        <w:rPr>
          <w:rFonts w:ascii="Arial" w:hAnsi="Arial" w:cs="Arial"/>
          <w:sz w:val="20"/>
          <w:szCs w:val="20"/>
        </w:rPr>
        <w:t>. Benchmarking can also be used to compare different way</w:t>
      </w:r>
      <w:r w:rsidR="009E485F">
        <w:rPr>
          <w:rFonts w:ascii="Arial" w:hAnsi="Arial" w:cs="Arial"/>
          <w:sz w:val="20"/>
          <w:szCs w:val="20"/>
        </w:rPr>
        <w:t>s</w:t>
      </w:r>
      <w:r>
        <w:rPr>
          <w:rFonts w:ascii="Arial" w:hAnsi="Arial" w:cs="Arial"/>
          <w:sz w:val="20"/>
          <w:szCs w:val="20"/>
        </w:rPr>
        <w:t xml:space="preserve"> of implementing TTE methodology. </w:t>
      </w:r>
    </w:p>
    <w:p w14:paraId="392018B3" w14:textId="77777777" w:rsidR="00E278F0" w:rsidRDefault="00AB75D6">
      <w:pPr>
        <w:rPr>
          <w:rFonts w:ascii="Arial" w:hAnsi="Arial" w:cs="Arial"/>
          <w:sz w:val="20"/>
          <w:szCs w:val="20"/>
        </w:rPr>
      </w:pPr>
      <w:r w:rsidRPr="00AA62F7">
        <w:rPr>
          <w:rFonts w:ascii="Arial" w:hAnsi="Arial" w:cs="Arial"/>
          <w:sz w:val="20"/>
          <w:szCs w:val="20"/>
        </w:rPr>
        <w:t>Our study aims to establish best practices for the application of TTE methodology using UK CF Regi</w:t>
      </w:r>
      <w:r w:rsidR="00DB70A8">
        <w:rPr>
          <w:rFonts w:ascii="Arial" w:hAnsi="Arial" w:cs="Arial"/>
          <w:sz w:val="20"/>
          <w:szCs w:val="20"/>
        </w:rPr>
        <w:t>s</w:t>
      </w:r>
      <w:r w:rsidRPr="00AA62F7">
        <w:rPr>
          <w:rFonts w:ascii="Arial" w:hAnsi="Arial" w:cs="Arial"/>
          <w:sz w:val="20"/>
          <w:szCs w:val="20"/>
        </w:rPr>
        <w:t>try data to estimate effects of CF treatments. Different methodological approaches will be compared in a series of trial emulations of published RCTs in CF.</w:t>
      </w:r>
      <w:r w:rsidR="00405B93">
        <w:rPr>
          <w:rFonts w:ascii="Arial" w:hAnsi="Arial" w:cs="Arial"/>
          <w:sz w:val="20"/>
          <w:szCs w:val="20"/>
        </w:rPr>
        <w:t xml:space="preserve"> Our focus is on trials that study the effects of antibiotics, since these are commonly used in CF. </w:t>
      </w:r>
    </w:p>
    <w:p w14:paraId="129CB258" w14:textId="78F3B97E" w:rsidR="00AB75D6" w:rsidRPr="00AA62F7" w:rsidRDefault="00AB75D6">
      <w:pPr>
        <w:rPr>
          <w:rFonts w:ascii="Arial" w:hAnsi="Arial" w:cs="Arial"/>
          <w:sz w:val="20"/>
          <w:szCs w:val="20"/>
        </w:rPr>
      </w:pPr>
      <w:r w:rsidRPr="00AA62F7">
        <w:rPr>
          <w:rFonts w:ascii="Arial" w:hAnsi="Arial" w:cs="Arial"/>
          <w:sz w:val="20"/>
          <w:szCs w:val="20"/>
        </w:rPr>
        <w:t xml:space="preserve">This protocol describes the target trials, the trial emulations using UK CF Registry data, and the details on different methodological approaches that will be compared in the trial emulations. Section 2 describes </w:t>
      </w:r>
      <w:r w:rsidR="00A419CA">
        <w:rPr>
          <w:rFonts w:ascii="Arial" w:hAnsi="Arial" w:cs="Arial"/>
          <w:sz w:val="20"/>
          <w:szCs w:val="20"/>
        </w:rPr>
        <w:t>the target trials we plan to emulate</w:t>
      </w:r>
      <w:r w:rsidRPr="00AA62F7">
        <w:rPr>
          <w:rFonts w:ascii="Arial" w:hAnsi="Arial" w:cs="Arial"/>
          <w:sz w:val="20"/>
          <w:szCs w:val="20"/>
        </w:rPr>
        <w:t>. Section 3 provides details on the UK CF Registry data</w:t>
      </w:r>
      <w:r w:rsidR="00AD4A09">
        <w:rPr>
          <w:rFonts w:ascii="Arial" w:hAnsi="Arial" w:cs="Arial"/>
          <w:sz w:val="20"/>
          <w:szCs w:val="20"/>
        </w:rPr>
        <w:t xml:space="preserve"> and</w:t>
      </w:r>
      <w:r w:rsidRPr="00AA62F7">
        <w:rPr>
          <w:rFonts w:ascii="Arial" w:hAnsi="Arial" w:cs="Arial"/>
          <w:sz w:val="20"/>
          <w:szCs w:val="20"/>
        </w:rPr>
        <w:t xml:space="preserve"> Section 4 </w:t>
      </w:r>
      <w:r w:rsidR="00BC6A06">
        <w:rPr>
          <w:rFonts w:ascii="Arial" w:hAnsi="Arial" w:cs="Arial"/>
          <w:sz w:val="20"/>
          <w:szCs w:val="20"/>
        </w:rPr>
        <w:t>des</w:t>
      </w:r>
      <w:r w:rsidR="00D6569C">
        <w:rPr>
          <w:rFonts w:ascii="Arial" w:hAnsi="Arial" w:cs="Arial"/>
          <w:sz w:val="20"/>
          <w:szCs w:val="20"/>
        </w:rPr>
        <w:t>c</w:t>
      </w:r>
      <w:r w:rsidR="00BC6A06">
        <w:rPr>
          <w:rFonts w:ascii="Arial" w:hAnsi="Arial" w:cs="Arial"/>
          <w:sz w:val="20"/>
          <w:szCs w:val="20"/>
        </w:rPr>
        <w:t>ribes</w:t>
      </w:r>
      <w:r w:rsidRPr="00AA62F7">
        <w:rPr>
          <w:rFonts w:ascii="Arial" w:hAnsi="Arial" w:cs="Arial"/>
          <w:sz w:val="20"/>
          <w:szCs w:val="20"/>
        </w:rPr>
        <w:t xml:space="preserve"> </w:t>
      </w:r>
      <w:r w:rsidR="00EB2B88">
        <w:rPr>
          <w:rFonts w:ascii="Arial" w:hAnsi="Arial" w:cs="Arial"/>
          <w:sz w:val="20"/>
          <w:szCs w:val="20"/>
        </w:rPr>
        <w:t>how the four target trials will be emulated using th</w:t>
      </w:r>
      <w:r w:rsidR="00AD4A09">
        <w:rPr>
          <w:rFonts w:ascii="Arial" w:hAnsi="Arial" w:cs="Arial"/>
          <w:sz w:val="20"/>
          <w:szCs w:val="20"/>
        </w:rPr>
        <w:t>ese data, as well</w:t>
      </w:r>
      <w:r w:rsidR="00BC6A06">
        <w:rPr>
          <w:rFonts w:ascii="Arial" w:hAnsi="Arial" w:cs="Arial"/>
          <w:sz w:val="20"/>
          <w:szCs w:val="20"/>
        </w:rPr>
        <w:t xml:space="preserve"> as outlining the</w:t>
      </w:r>
      <w:r w:rsidR="00AD4A09">
        <w:rPr>
          <w:rFonts w:ascii="Arial" w:hAnsi="Arial" w:cs="Arial"/>
          <w:sz w:val="20"/>
          <w:szCs w:val="20"/>
        </w:rPr>
        <w:t xml:space="preserve"> </w:t>
      </w:r>
      <w:r w:rsidR="00125E0F">
        <w:rPr>
          <w:rFonts w:ascii="Arial" w:hAnsi="Arial" w:cs="Arial"/>
          <w:sz w:val="20"/>
          <w:szCs w:val="20"/>
        </w:rPr>
        <w:t xml:space="preserve">statistical </w:t>
      </w:r>
      <w:r w:rsidRPr="00AA62F7">
        <w:rPr>
          <w:rFonts w:ascii="Arial" w:hAnsi="Arial" w:cs="Arial"/>
          <w:sz w:val="20"/>
          <w:szCs w:val="20"/>
        </w:rPr>
        <w:t>methods that will be used</w:t>
      </w:r>
      <w:r w:rsidR="00BC6A06">
        <w:rPr>
          <w:rFonts w:ascii="Arial" w:hAnsi="Arial" w:cs="Arial"/>
          <w:sz w:val="20"/>
          <w:szCs w:val="20"/>
        </w:rPr>
        <w:t xml:space="preserve">. </w:t>
      </w:r>
      <w:r w:rsidR="00E11BB5">
        <w:rPr>
          <w:rFonts w:ascii="Arial" w:hAnsi="Arial" w:cs="Arial"/>
          <w:sz w:val="20"/>
          <w:szCs w:val="20"/>
        </w:rPr>
        <w:t xml:space="preserve">Section 5 </w:t>
      </w:r>
      <w:r w:rsidR="00CB59A7">
        <w:rPr>
          <w:rFonts w:ascii="Arial" w:hAnsi="Arial" w:cs="Arial"/>
          <w:sz w:val="20"/>
          <w:szCs w:val="20"/>
        </w:rPr>
        <w:t xml:space="preserve">discusses some of the reasons we may see differences in the results between the target trials and trial emulations. </w:t>
      </w:r>
    </w:p>
    <w:p w14:paraId="45D98ED6" w14:textId="4CEBC748" w:rsidR="006C30BA" w:rsidRPr="002F0E29" w:rsidRDefault="00E06AD5" w:rsidP="002F0E29">
      <w:pPr>
        <w:pStyle w:val="Heading1"/>
      </w:pPr>
      <w:r>
        <w:t xml:space="preserve">2. </w:t>
      </w:r>
      <w:r w:rsidR="0079755F">
        <w:t xml:space="preserve">Summary of selected trials </w:t>
      </w:r>
    </w:p>
    <w:p w14:paraId="5111A36C" w14:textId="38B2A0DD" w:rsidR="00105CC2" w:rsidRDefault="00105CC2" w:rsidP="00105CC2">
      <w:pPr>
        <w:pStyle w:val="Heading2"/>
      </w:pPr>
      <w:r>
        <w:t>2.1 Selection of target trials</w:t>
      </w:r>
    </w:p>
    <w:p w14:paraId="5A2189F2" w14:textId="39C21027" w:rsidR="00EA73BD" w:rsidRDefault="00B10F2E">
      <w:pPr>
        <w:rPr>
          <w:rFonts w:ascii="Arial" w:hAnsi="Arial" w:cs="Arial"/>
          <w:sz w:val="20"/>
          <w:szCs w:val="20"/>
        </w:rPr>
      </w:pPr>
      <w:r w:rsidRPr="00AA62F7">
        <w:rPr>
          <w:rFonts w:ascii="Arial" w:hAnsi="Arial" w:cs="Arial"/>
          <w:sz w:val="20"/>
          <w:szCs w:val="20"/>
        </w:rPr>
        <w:t>We selected four published RCTs which provide evidence on the effects of antibiotics in CF</w:t>
      </w:r>
      <w:r w:rsidR="00073BAD">
        <w:rPr>
          <w:rFonts w:ascii="Arial" w:hAnsi="Arial" w:cs="Arial"/>
          <w:sz w:val="20"/>
          <w:szCs w:val="20"/>
        </w:rPr>
        <w:t xml:space="preserve"> [1</w:t>
      </w:r>
      <w:r w:rsidR="00D6569C">
        <w:rPr>
          <w:rFonts w:ascii="Arial" w:hAnsi="Arial" w:cs="Arial"/>
          <w:sz w:val="20"/>
          <w:szCs w:val="20"/>
        </w:rPr>
        <w:t>8</w:t>
      </w:r>
      <w:r w:rsidR="00073BAD">
        <w:rPr>
          <w:rFonts w:ascii="Arial" w:hAnsi="Arial" w:cs="Arial"/>
          <w:sz w:val="20"/>
          <w:szCs w:val="20"/>
        </w:rPr>
        <w:t>-</w:t>
      </w:r>
      <w:r w:rsidR="00D6569C">
        <w:rPr>
          <w:rFonts w:ascii="Arial" w:hAnsi="Arial" w:cs="Arial"/>
          <w:sz w:val="20"/>
          <w:szCs w:val="20"/>
        </w:rPr>
        <w:t>21</w:t>
      </w:r>
      <w:r w:rsidR="00073BAD">
        <w:rPr>
          <w:rFonts w:ascii="Arial" w:hAnsi="Arial" w:cs="Arial"/>
          <w:sz w:val="20"/>
          <w:szCs w:val="20"/>
        </w:rPr>
        <w:t>]</w:t>
      </w:r>
      <w:r w:rsidRPr="00AA62F7">
        <w:rPr>
          <w:rFonts w:ascii="Arial" w:hAnsi="Arial" w:cs="Arial"/>
          <w:sz w:val="20"/>
          <w:szCs w:val="20"/>
        </w:rPr>
        <w:t>. Trials were chosen on the basis of having a treatment strategy that is still relevant to the UK CF population, so that extensions of the trials</w:t>
      </w:r>
      <w:r w:rsidR="00405B93">
        <w:rPr>
          <w:rFonts w:ascii="Arial" w:hAnsi="Arial" w:cs="Arial"/>
          <w:sz w:val="20"/>
          <w:szCs w:val="20"/>
        </w:rPr>
        <w:t xml:space="preserve"> (</w:t>
      </w:r>
      <w:r w:rsidR="009D3B92">
        <w:rPr>
          <w:rFonts w:ascii="Arial" w:hAnsi="Arial" w:cs="Arial"/>
          <w:sz w:val="20"/>
          <w:szCs w:val="20"/>
        </w:rPr>
        <w:t>including long term effects of treatments</w:t>
      </w:r>
      <w:r w:rsidR="00405B93">
        <w:rPr>
          <w:rFonts w:ascii="Arial" w:hAnsi="Arial" w:cs="Arial"/>
          <w:sz w:val="20"/>
          <w:szCs w:val="20"/>
        </w:rPr>
        <w:t xml:space="preserve">) </w:t>
      </w:r>
      <w:r w:rsidR="007205D8">
        <w:rPr>
          <w:rFonts w:ascii="Arial" w:hAnsi="Arial" w:cs="Arial"/>
          <w:sz w:val="20"/>
          <w:szCs w:val="20"/>
        </w:rPr>
        <w:t>would be</w:t>
      </w:r>
      <w:r w:rsidRPr="00AA62F7">
        <w:rPr>
          <w:rFonts w:ascii="Arial" w:hAnsi="Arial" w:cs="Arial"/>
          <w:sz w:val="20"/>
          <w:szCs w:val="20"/>
        </w:rPr>
        <w:t xml:space="preserve"> </w:t>
      </w:r>
      <w:r w:rsidR="00405B93">
        <w:rPr>
          <w:rFonts w:ascii="Arial" w:hAnsi="Arial" w:cs="Arial"/>
          <w:sz w:val="20"/>
          <w:szCs w:val="20"/>
        </w:rPr>
        <w:t>relevant for future trial emulations.</w:t>
      </w:r>
      <w:r w:rsidRPr="00AA62F7">
        <w:rPr>
          <w:rFonts w:ascii="Arial" w:hAnsi="Arial" w:cs="Arial"/>
          <w:sz w:val="20"/>
          <w:szCs w:val="20"/>
        </w:rPr>
        <w:t xml:space="preserve"> </w:t>
      </w:r>
      <w:r w:rsidR="00954954" w:rsidRPr="00AA62F7">
        <w:rPr>
          <w:rFonts w:ascii="Arial" w:hAnsi="Arial" w:cs="Arial"/>
          <w:sz w:val="20"/>
          <w:szCs w:val="20"/>
        </w:rPr>
        <w:t>Additionally, we selected trials with a range of different treatment</w:t>
      </w:r>
      <w:r w:rsidR="007D5D0D">
        <w:rPr>
          <w:rFonts w:ascii="Arial" w:hAnsi="Arial" w:cs="Arial"/>
          <w:sz w:val="20"/>
          <w:szCs w:val="20"/>
        </w:rPr>
        <w:t>s</w:t>
      </w:r>
      <w:r w:rsidR="00954954" w:rsidRPr="00AA62F7">
        <w:rPr>
          <w:rFonts w:ascii="Arial" w:hAnsi="Arial" w:cs="Arial"/>
          <w:sz w:val="20"/>
          <w:szCs w:val="20"/>
        </w:rPr>
        <w:t>, comparators</w:t>
      </w:r>
      <w:r w:rsidR="00405B93">
        <w:rPr>
          <w:rFonts w:ascii="Arial" w:hAnsi="Arial" w:cs="Arial"/>
          <w:sz w:val="20"/>
          <w:szCs w:val="20"/>
        </w:rPr>
        <w:t xml:space="preserve"> (i.e., placebo-controlled trials and trials with active comparators)</w:t>
      </w:r>
      <w:r w:rsidR="00954954" w:rsidRPr="00AA62F7">
        <w:rPr>
          <w:rFonts w:ascii="Arial" w:hAnsi="Arial" w:cs="Arial"/>
          <w:sz w:val="20"/>
          <w:szCs w:val="20"/>
        </w:rPr>
        <w:t>, and outcome types</w:t>
      </w:r>
      <w:r w:rsidR="00FD07D9">
        <w:rPr>
          <w:rFonts w:ascii="Arial" w:hAnsi="Arial" w:cs="Arial"/>
          <w:sz w:val="20"/>
          <w:szCs w:val="20"/>
        </w:rPr>
        <w:t>,</w:t>
      </w:r>
      <w:r w:rsidR="00954954" w:rsidRPr="00AA62F7">
        <w:rPr>
          <w:rFonts w:ascii="Arial" w:hAnsi="Arial" w:cs="Arial"/>
          <w:sz w:val="20"/>
          <w:szCs w:val="20"/>
        </w:rPr>
        <w:t xml:space="preserve"> to assess how well these different design choices could be emulated using the UK CF Registry data. Table 1 summarises the primary research question address</w:t>
      </w:r>
      <w:r w:rsidR="00B04F5F">
        <w:rPr>
          <w:rFonts w:ascii="Arial" w:hAnsi="Arial" w:cs="Arial"/>
          <w:sz w:val="20"/>
          <w:szCs w:val="20"/>
        </w:rPr>
        <w:t>ed</w:t>
      </w:r>
      <w:r w:rsidR="00954954" w:rsidRPr="00AA62F7">
        <w:rPr>
          <w:rFonts w:ascii="Arial" w:hAnsi="Arial" w:cs="Arial"/>
          <w:sz w:val="20"/>
          <w:szCs w:val="20"/>
        </w:rPr>
        <w:t xml:space="preserve"> in each of the target trials. </w:t>
      </w:r>
    </w:p>
    <w:p w14:paraId="13B17F3B" w14:textId="77777777" w:rsidR="0028767B" w:rsidRPr="00AA62F7" w:rsidRDefault="0028767B">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908"/>
        <w:gridCol w:w="1901"/>
        <w:gridCol w:w="1888"/>
        <w:gridCol w:w="1912"/>
      </w:tblGrid>
      <w:tr w:rsidR="00EA73BD" w:rsidRPr="00EF742C" w14:paraId="2F61E81A" w14:textId="3222898A">
        <w:tc>
          <w:tcPr>
            <w:tcW w:w="9242" w:type="dxa"/>
            <w:gridSpan w:val="5"/>
            <w:tcBorders>
              <w:bottom w:val="single" w:sz="4" w:space="0" w:color="auto"/>
            </w:tcBorders>
          </w:tcPr>
          <w:p w14:paraId="72034A46" w14:textId="60D450D2" w:rsidR="00EA73BD" w:rsidRPr="00EF742C" w:rsidRDefault="00EA73BD">
            <w:pPr>
              <w:rPr>
                <w:rFonts w:ascii="Arial" w:hAnsi="Arial" w:cs="Arial"/>
                <w:i/>
                <w:iCs/>
                <w:sz w:val="20"/>
                <w:szCs w:val="20"/>
              </w:rPr>
            </w:pPr>
            <w:r w:rsidRPr="00EF742C">
              <w:rPr>
                <w:rFonts w:ascii="Arial" w:hAnsi="Arial" w:cs="Arial"/>
                <w:i/>
                <w:iCs/>
                <w:sz w:val="20"/>
                <w:szCs w:val="20"/>
              </w:rPr>
              <w:lastRenderedPageBreak/>
              <w:t xml:space="preserve">Table 1: Description of the primary research question addressed in </w:t>
            </w:r>
            <w:r>
              <w:rPr>
                <w:rFonts w:ascii="Arial" w:hAnsi="Arial" w:cs="Arial"/>
                <w:i/>
                <w:iCs/>
                <w:sz w:val="20"/>
                <w:szCs w:val="20"/>
              </w:rPr>
              <w:t>each of the target trials</w:t>
            </w:r>
            <w:r w:rsidRPr="00EF742C">
              <w:rPr>
                <w:rFonts w:ascii="Arial" w:eastAsia="Times New Roman" w:hAnsi="Arial" w:cs="Arial"/>
                <w:i/>
                <w:iCs/>
                <w:sz w:val="20"/>
                <w:szCs w:val="20"/>
                <w:shd w:val="clear" w:color="auto" w:fill="FFFFFF"/>
                <w:lang w:eastAsia="en-GB"/>
              </w:rPr>
              <w:t xml:space="preserve"> </w:t>
            </w:r>
            <w:r w:rsidRPr="00EF742C">
              <w:rPr>
                <w:rFonts w:ascii="Arial" w:hAnsi="Arial" w:cs="Arial"/>
                <w:i/>
                <w:iCs/>
                <w:sz w:val="20"/>
                <w:szCs w:val="20"/>
              </w:rPr>
              <w:t xml:space="preserve"> </w:t>
            </w:r>
          </w:p>
        </w:tc>
      </w:tr>
      <w:tr w:rsidR="00E6493B" w:rsidRPr="00EF742C" w14:paraId="357E9AC7" w14:textId="034542CA" w:rsidTr="00EA73BD">
        <w:tc>
          <w:tcPr>
            <w:tcW w:w="1328" w:type="dxa"/>
            <w:tcBorders>
              <w:top w:val="single" w:sz="4" w:space="0" w:color="auto"/>
              <w:bottom w:val="single" w:sz="4" w:space="0" w:color="auto"/>
            </w:tcBorders>
          </w:tcPr>
          <w:p w14:paraId="3EA7F3AD" w14:textId="77777777" w:rsidR="00954954" w:rsidRPr="00EF742C" w:rsidRDefault="00954954">
            <w:pPr>
              <w:rPr>
                <w:rFonts w:ascii="Arial" w:hAnsi="Arial" w:cs="Arial"/>
                <w:sz w:val="20"/>
                <w:szCs w:val="20"/>
              </w:rPr>
            </w:pPr>
          </w:p>
        </w:tc>
        <w:tc>
          <w:tcPr>
            <w:tcW w:w="1978" w:type="dxa"/>
            <w:tcBorders>
              <w:top w:val="single" w:sz="4" w:space="0" w:color="auto"/>
              <w:bottom w:val="single" w:sz="4" w:space="0" w:color="auto"/>
            </w:tcBorders>
          </w:tcPr>
          <w:p w14:paraId="4C3C0452" w14:textId="603A88CD" w:rsidR="00954954" w:rsidRPr="00433571" w:rsidRDefault="00954954">
            <w:pPr>
              <w:rPr>
                <w:rFonts w:ascii="Arial" w:hAnsi="Arial" w:cs="Arial"/>
                <w:b/>
                <w:bCs/>
                <w:color w:val="000000" w:themeColor="text1"/>
                <w:sz w:val="20"/>
                <w:szCs w:val="20"/>
              </w:rPr>
            </w:pPr>
            <w:r w:rsidRPr="00433571">
              <w:rPr>
                <w:rFonts w:ascii="Arial" w:hAnsi="Arial" w:cs="Arial"/>
                <w:b/>
                <w:bCs/>
                <w:color w:val="000000" w:themeColor="text1"/>
                <w:sz w:val="20"/>
                <w:szCs w:val="20"/>
              </w:rPr>
              <w:t>Trial 1</w:t>
            </w:r>
            <w:r w:rsidR="00F86804">
              <w:rPr>
                <w:rFonts w:ascii="Arial" w:hAnsi="Arial" w:cs="Arial"/>
                <w:b/>
                <w:bCs/>
                <w:color w:val="000000" w:themeColor="text1"/>
                <w:sz w:val="20"/>
                <w:szCs w:val="20"/>
              </w:rPr>
              <w:t xml:space="preserve"> [1</w:t>
            </w:r>
            <w:r w:rsidR="00D6569C">
              <w:rPr>
                <w:rFonts w:ascii="Arial" w:hAnsi="Arial" w:cs="Arial"/>
                <w:b/>
                <w:bCs/>
                <w:color w:val="000000" w:themeColor="text1"/>
                <w:sz w:val="20"/>
                <w:szCs w:val="20"/>
              </w:rPr>
              <w:t>8</w:t>
            </w:r>
            <w:r w:rsidR="00F86804">
              <w:rPr>
                <w:rFonts w:ascii="Arial" w:hAnsi="Arial" w:cs="Arial"/>
                <w:b/>
                <w:bCs/>
                <w:color w:val="000000" w:themeColor="text1"/>
                <w:sz w:val="20"/>
                <w:szCs w:val="20"/>
              </w:rPr>
              <w:t>]</w:t>
            </w:r>
          </w:p>
        </w:tc>
        <w:tc>
          <w:tcPr>
            <w:tcW w:w="1979" w:type="dxa"/>
            <w:tcBorders>
              <w:top w:val="single" w:sz="4" w:space="0" w:color="auto"/>
              <w:bottom w:val="single" w:sz="4" w:space="0" w:color="auto"/>
            </w:tcBorders>
          </w:tcPr>
          <w:p w14:paraId="6EB08241" w14:textId="674BC7AD" w:rsidR="00954954" w:rsidRPr="00433571" w:rsidRDefault="00954954">
            <w:pPr>
              <w:rPr>
                <w:rFonts w:ascii="Arial" w:hAnsi="Arial" w:cs="Arial"/>
                <w:b/>
                <w:bCs/>
                <w:color w:val="000000" w:themeColor="text1"/>
                <w:sz w:val="20"/>
                <w:szCs w:val="20"/>
              </w:rPr>
            </w:pPr>
            <w:r w:rsidRPr="00433571">
              <w:rPr>
                <w:rFonts w:ascii="Arial" w:hAnsi="Arial" w:cs="Arial"/>
                <w:b/>
                <w:bCs/>
                <w:color w:val="000000" w:themeColor="text1"/>
                <w:sz w:val="20"/>
                <w:szCs w:val="20"/>
              </w:rPr>
              <w:t xml:space="preserve">Trial </w:t>
            </w:r>
            <w:r w:rsidR="00E9477E">
              <w:rPr>
                <w:rFonts w:ascii="Arial" w:hAnsi="Arial" w:cs="Arial"/>
                <w:b/>
                <w:bCs/>
                <w:color w:val="000000" w:themeColor="text1"/>
                <w:sz w:val="20"/>
                <w:szCs w:val="20"/>
              </w:rPr>
              <w:t>2</w:t>
            </w:r>
            <w:r w:rsidR="00F86804">
              <w:rPr>
                <w:rFonts w:ascii="Arial" w:hAnsi="Arial" w:cs="Arial"/>
                <w:b/>
                <w:bCs/>
                <w:color w:val="000000" w:themeColor="text1"/>
                <w:sz w:val="20"/>
                <w:szCs w:val="20"/>
              </w:rPr>
              <w:t xml:space="preserve"> [1</w:t>
            </w:r>
            <w:r w:rsidR="00D6569C">
              <w:rPr>
                <w:rFonts w:ascii="Arial" w:hAnsi="Arial" w:cs="Arial"/>
                <w:b/>
                <w:bCs/>
                <w:color w:val="000000" w:themeColor="text1"/>
                <w:sz w:val="20"/>
                <w:szCs w:val="20"/>
              </w:rPr>
              <w:t>9</w:t>
            </w:r>
            <w:r w:rsidR="00F86804">
              <w:rPr>
                <w:rFonts w:ascii="Arial" w:hAnsi="Arial" w:cs="Arial"/>
                <w:b/>
                <w:bCs/>
                <w:color w:val="000000" w:themeColor="text1"/>
                <w:sz w:val="20"/>
                <w:szCs w:val="20"/>
              </w:rPr>
              <w:t>]</w:t>
            </w:r>
          </w:p>
        </w:tc>
        <w:tc>
          <w:tcPr>
            <w:tcW w:w="1978" w:type="dxa"/>
            <w:tcBorders>
              <w:top w:val="single" w:sz="4" w:space="0" w:color="auto"/>
              <w:bottom w:val="single" w:sz="4" w:space="0" w:color="auto"/>
            </w:tcBorders>
          </w:tcPr>
          <w:p w14:paraId="040ECED8" w14:textId="4FDD99C8" w:rsidR="00954954" w:rsidRPr="00433571" w:rsidRDefault="00954954">
            <w:pPr>
              <w:rPr>
                <w:rFonts w:ascii="Arial" w:hAnsi="Arial" w:cs="Arial"/>
                <w:b/>
                <w:bCs/>
                <w:color w:val="000000" w:themeColor="text1"/>
                <w:sz w:val="20"/>
                <w:szCs w:val="20"/>
              </w:rPr>
            </w:pPr>
            <w:r w:rsidRPr="00433571">
              <w:rPr>
                <w:rFonts w:ascii="Arial" w:hAnsi="Arial" w:cs="Arial"/>
                <w:b/>
                <w:bCs/>
                <w:color w:val="000000" w:themeColor="text1"/>
                <w:sz w:val="20"/>
                <w:szCs w:val="20"/>
              </w:rPr>
              <w:t>Trial 3</w:t>
            </w:r>
            <w:r w:rsidR="00F86804">
              <w:rPr>
                <w:rFonts w:ascii="Arial" w:hAnsi="Arial" w:cs="Arial"/>
                <w:b/>
                <w:bCs/>
                <w:color w:val="000000" w:themeColor="text1"/>
                <w:sz w:val="20"/>
                <w:szCs w:val="20"/>
              </w:rPr>
              <w:t xml:space="preserve"> [</w:t>
            </w:r>
            <w:r w:rsidR="00D6569C">
              <w:rPr>
                <w:rFonts w:ascii="Arial" w:hAnsi="Arial" w:cs="Arial"/>
                <w:b/>
                <w:bCs/>
                <w:color w:val="000000" w:themeColor="text1"/>
                <w:sz w:val="20"/>
                <w:szCs w:val="20"/>
              </w:rPr>
              <w:t>20</w:t>
            </w:r>
            <w:r w:rsidR="00F86804">
              <w:rPr>
                <w:rFonts w:ascii="Arial" w:hAnsi="Arial" w:cs="Arial"/>
                <w:b/>
                <w:bCs/>
                <w:color w:val="000000" w:themeColor="text1"/>
                <w:sz w:val="20"/>
                <w:szCs w:val="20"/>
              </w:rPr>
              <w:t>]</w:t>
            </w:r>
          </w:p>
        </w:tc>
        <w:tc>
          <w:tcPr>
            <w:tcW w:w="1979" w:type="dxa"/>
            <w:tcBorders>
              <w:top w:val="single" w:sz="4" w:space="0" w:color="auto"/>
              <w:bottom w:val="single" w:sz="4" w:space="0" w:color="auto"/>
            </w:tcBorders>
          </w:tcPr>
          <w:p w14:paraId="131FED77" w14:textId="6DE83431" w:rsidR="00954954" w:rsidRPr="00433571" w:rsidRDefault="00954954">
            <w:pPr>
              <w:rPr>
                <w:rFonts w:ascii="Arial" w:hAnsi="Arial" w:cs="Arial"/>
                <w:b/>
                <w:bCs/>
                <w:color w:val="000000" w:themeColor="text1"/>
                <w:sz w:val="20"/>
                <w:szCs w:val="20"/>
              </w:rPr>
            </w:pPr>
            <w:r w:rsidRPr="00433571">
              <w:rPr>
                <w:rFonts w:ascii="Arial" w:hAnsi="Arial" w:cs="Arial"/>
                <w:b/>
                <w:bCs/>
                <w:color w:val="000000" w:themeColor="text1"/>
                <w:sz w:val="20"/>
                <w:szCs w:val="20"/>
              </w:rPr>
              <w:t>Trial 4</w:t>
            </w:r>
            <w:r w:rsidR="00F86804">
              <w:rPr>
                <w:rFonts w:ascii="Arial" w:hAnsi="Arial" w:cs="Arial"/>
                <w:b/>
                <w:bCs/>
                <w:color w:val="000000" w:themeColor="text1"/>
                <w:sz w:val="20"/>
                <w:szCs w:val="20"/>
              </w:rPr>
              <w:t xml:space="preserve"> [</w:t>
            </w:r>
            <w:r w:rsidR="00D6569C">
              <w:rPr>
                <w:rFonts w:ascii="Arial" w:hAnsi="Arial" w:cs="Arial"/>
                <w:b/>
                <w:bCs/>
                <w:color w:val="000000" w:themeColor="text1"/>
                <w:sz w:val="20"/>
                <w:szCs w:val="20"/>
              </w:rPr>
              <w:t>21</w:t>
            </w:r>
            <w:r w:rsidR="00F86804">
              <w:rPr>
                <w:rFonts w:ascii="Arial" w:hAnsi="Arial" w:cs="Arial"/>
                <w:b/>
                <w:bCs/>
                <w:color w:val="000000" w:themeColor="text1"/>
                <w:sz w:val="20"/>
                <w:szCs w:val="20"/>
              </w:rPr>
              <w:t>]</w:t>
            </w:r>
          </w:p>
        </w:tc>
      </w:tr>
      <w:tr w:rsidR="00E6493B" w:rsidRPr="00EF742C" w14:paraId="2E6AD1CF" w14:textId="4AE5BCE8" w:rsidTr="00EA73BD">
        <w:tc>
          <w:tcPr>
            <w:tcW w:w="1328" w:type="dxa"/>
            <w:tcBorders>
              <w:top w:val="single" w:sz="4" w:space="0" w:color="auto"/>
              <w:bottom w:val="single" w:sz="4" w:space="0" w:color="auto"/>
            </w:tcBorders>
          </w:tcPr>
          <w:p w14:paraId="5A11F719" w14:textId="77777777" w:rsidR="00954954" w:rsidRPr="00EA73BD" w:rsidRDefault="00954954">
            <w:pPr>
              <w:rPr>
                <w:rFonts w:ascii="Arial" w:hAnsi="Arial" w:cs="Arial"/>
                <w:b/>
                <w:bCs/>
                <w:sz w:val="20"/>
                <w:szCs w:val="20"/>
              </w:rPr>
            </w:pPr>
            <w:r w:rsidRPr="00EA73BD">
              <w:rPr>
                <w:rFonts w:ascii="Arial" w:hAnsi="Arial" w:cs="Arial"/>
                <w:b/>
                <w:bCs/>
                <w:sz w:val="20"/>
                <w:szCs w:val="20"/>
              </w:rPr>
              <w:t>Objective:</w:t>
            </w:r>
          </w:p>
        </w:tc>
        <w:tc>
          <w:tcPr>
            <w:tcW w:w="1978" w:type="dxa"/>
            <w:tcBorders>
              <w:top w:val="single" w:sz="4" w:space="0" w:color="auto"/>
              <w:bottom w:val="single" w:sz="4" w:space="0" w:color="auto"/>
            </w:tcBorders>
          </w:tcPr>
          <w:p w14:paraId="7E41691F" w14:textId="3CB6BC9C" w:rsidR="00954954" w:rsidRPr="00EF742C" w:rsidRDefault="00954954">
            <w:pPr>
              <w:rPr>
                <w:rFonts w:ascii="Arial" w:hAnsi="Arial" w:cs="Arial"/>
                <w:sz w:val="20"/>
                <w:szCs w:val="20"/>
              </w:rPr>
            </w:pPr>
            <w:r>
              <w:rPr>
                <w:rFonts w:ascii="Arial" w:hAnsi="Arial" w:cs="Arial"/>
                <w:sz w:val="20"/>
                <w:szCs w:val="20"/>
              </w:rPr>
              <w:t>Compare aztreonam for inhalation solution and tobramycin nebuli</w:t>
            </w:r>
            <w:r w:rsidR="00D85E4B">
              <w:rPr>
                <w:rFonts w:ascii="Arial" w:hAnsi="Arial" w:cs="Arial"/>
                <w:sz w:val="20"/>
                <w:szCs w:val="20"/>
              </w:rPr>
              <w:t>s</w:t>
            </w:r>
            <w:r>
              <w:rPr>
                <w:rFonts w:ascii="Arial" w:hAnsi="Arial" w:cs="Arial"/>
                <w:sz w:val="20"/>
                <w:szCs w:val="20"/>
              </w:rPr>
              <w:t xml:space="preserve">er solution for CF patients with airway </w:t>
            </w:r>
            <w:r w:rsidRPr="00954954">
              <w:rPr>
                <w:rFonts w:ascii="Arial" w:hAnsi="Arial" w:cs="Arial"/>
                <w:i/>
                <w:iCs/>
                <w:sz w:val="20"/>
                <w:szCs w:val="20"/>
              </w:rPr>
              <w:t>Pseudomonas aeruginosa</w:t>
            </w:r>
            <w:r>
              <w:rPr>
                <w:rFonts w:ascii="Arial" w:hAnsi="Arial" w:cs="Arial"/>
                <w:sz w:val="20"/>
                <w:szCs w:val="20"/>
              </w:rPr>
              <w:t xml:space="preserve"> (PA)</w:t>
            </w:r>
          </w:p>
        </w:tc>
        <w:tc>
          <w:tcPr>
            <w:tcW w:w="1979" w:type="dxa"/>
            <w:tcBorders>
              <w:top w:val="single" w:sz="4" w:space="0" w:color="auto"/>
              <w:bottom w:val="single" w:sz="4" w:space="0" w:color="auto"/>
            </w:tcBorders>
          </w:tcPr>
          <w:p w14:paraId="06D97806" w14:textId="03B2A4F8" w:rsidR="00954954" w:rsidRPr="00EF742C" w:rsidRDefault="00390B02">
            <w:pPr>
              <w:rPr>
                <w:rFonts w:ascii="Arial" w:hAnsi="Arial" w:cs="Arial"/>
                <w:sz w:val="20"/>
                <w:szCs w:val="20"/>
              </w:rPr>
            </w:pPr>
            <w:r>
              <w:rPr>
                <w:rFonts w:ascii="Arial" w:hAnsi="Arial" w:cs="Arial"/>
                <w:sz w:val="20"/>
                <w:szCs w:val="20"/>
              </w:rPr>
              <w:t xml:space="preserve">Assess the efficacy and safety of inhaled colistimethate sodium in CF patients with chronic PA infection. </w:t>
            </w:r>
          </w:p>
        </w:tc>
        <w:tc>
          <w:tcPr>
            <w:tcW w:w="1978" w:type="dxa"/>
            <w:tcBorders>
              <w:top w:val="single" w:sz="4" w:space="0" w:color="auto"/>
              <w:bottom w:val="single" w:sz="4" w:space="0" w:color="auto"/>
            </w:tcBorders>
          </w:tcPr>
          <w:p w14:paraId="7CDCE8C9" w14:textId="71CFBE4B" w:rsidR="00954954" w:rsidRPr="00EF742C" w:rsidRDefault="00390B02">
            <w:pPr>
              <w:rPr>
                <w:rFonts w:ascii="Arial" w:hAnsi="Arial" w:cs="Arial"/>
                <w:sz w:val="20"/>
                <w:szCs w:val="20"/>
              </w:rPr>
            </w:pPr>
            <w:r>
              <w:rPr>
                <w:rFonts w:ascii="Arial" w:hAnsi="Arial" w:cs="Arial"/>
                <w:sz w:val="20"/>
                <w:szCs w:val="20"/>
              </w:rPr>
              <w:t>Determine if azithromycin treatment improves lung function in paediatric CF patients uninfected with PA</w:t>
            </w:r>
          </w:p>
        </w:tc>
        <w:tc>
          <w:tcPr>
            <w:tcW w:w="1979" w:type="dxa"/>
            <w:tcBorders>
              <w:top w:val="single" w:sz="4" w:space="0" w:color="auto"/>
              <w:bottom w:val="single" w:sz="4" w:space="0" w:color="auto"/>
            </w:tcBorders>
          </w:tcPr>
          <w:p w14:paraId="6A8CF67B" w14:textId="4440B75A" w:rsidR="00954954" w:rsidRPr="00EF742C" w:rsidRDefault="00EA73BD">
            <w:pPr>
              <w:rPr>
                <w:rFonts w:ascii="Arial" w:hAnsi="Arial" w:cs="Arial"/>
                <w:sz w:val="20"/>
                <w:szCs w:val="20"/>
              </w:rPr>
            </w:pPr>
            <w:r>
              <w:rPr>
                <w:rFonts w:ascii="Arial" w:hAnsi="Arial" w:cs="Arial"/>
                <w:sz w:val="20"/>
                <w:szCs w:val="20"/>
              </w:rPr>
              <w:t>Determine if an association between azithromycin use and pulmonary function exists in CF patients chronically infected with PA</w:t>
            </w:r>
          </w:p>
        </w:tc>
      </w:tr>
      <w:tr w:rsidR="00E6493B" w:rsidRPr="00EF742C" w14:paraId="520245AF" w14:textId="3CD8C398" w:rsidTr="00EA73BD">
        <w:tc>
          <w:tcPr>
            <w:tcW w:w="1328" w:type="dxa"/>
            <w:tcBorders>
              <w:top w:val="single" w:sz="4" w:space="0" w:color="auto"/>
              <w:bottom w:val="single" w:sz="4" w:space="0" w:color="auto"/>
            </w:tcBorders>
          </w:tcPr>
          <w:p w14:paraId="52FFBC4D" w14:textId="77777777" w:rsidR="00954954" w:rsidRPr="00EA73BD" w:rsidRDefault="00954954">
            <w:pPr>
              <w:rPr>
                <w:rFonts w:ascii="Arial" w:hAnsi="Arial" w:cs="Arial"/>
                <w:b/>
                <w:bCs/>
                <w:sz w:val="20"/>
                <w:szCs w:val="20"/>
              </w:rPr>
            </w:pPr>
            <w:r w:rsidRPr="00EA73BD">
              <w:rPr>
                <w:rFonts w:ascii="Arial" w:hAnsi="Arial" w:cs="Arial"/>
                <w:b/>
                <w:bCs/>
                <w:sz w:val="20"/>
                <w:szCs w:val="20"/>
              </w:rPr>
              <w:t>Population:</w:t>
            </w:r>
          </w:p>
        </w:tc>
        <w:tc>
          <w:tcPr>
            <w:tcW w:w="1978" w:type="dxa"/>
            <w:tcBorders>
              <w:top w:val="single" w:sz="4" w:space="0" w:color="auto"/>
              <w:bottom w:val="single" w:sz="4" w:space="0" w:color="auto"/>
            </w:tcBorders>
          </w:tcPr>
          <w:p w14:paraId="37E7C877" w14:textId="56EB76F2" w:rsidR="00954954" w:rsidRPr="00EF742C" w:rsidRDefault="00954954">
            <w:pPr>
              <w:rPr>
                <w:rFonts w:ascii="Arial" w:hAnsi="Arial" w:cs="Arial"/>
                <w:sz w:val="20"/>
                <w:szCs w:val="20"/>
              </w:rPr>
            </w:pPr>
            <w:r w:rsidRPr="00EF742C">
              <w:rPr>
                <w:rFonts w:ascii="Arial" w:hAnsi="Arial" w:cs="Arial"/>
                <w:sz w:val="20"/>
                <w:szCs w:val="20"/>
              </w:rPr>
              <w:t>CF patients</w:t>
            </w:r>
            <w:r w:rsidR="00390B02">
              <w:rPr>
                <w:rFonts w:ascii="Arial" w:hAnsi="Arial" w:cs="Arial"/>
                <w:sz w:val="20"/>
                <w:szCs w:val="20"/>
              </w:rPr>
              <w:t>, &gt;</w:t>
            </w:r>
            <w:r w:rsidRPr="00EF742C">
              <w:rPr>
                <w:rFonts w:ascii="Arial" w:hAnsi="Arial" w:cs="Arial"/>
                <w:sz w:val="20"/>
                <w:szCs w:val="20"/>
              </w:rPr>
              <w:t>6 years</w:t>
            </w:r>
            <w:r w:rsidR="00390B02">
              <w:rPr>
                <w:rFonts w:ascii="Arial" w:hAnsi="Arial" w:cs="Arial"/>
                <w:sz w:val="20"/>
                <w:szCs w:val="20"/>
              </w:rPr>
              <w:t xml:space="preserve"> old</w:t>
            </w:r>
            <w:r>
              <w:rPr>
                <w:rFonts w:ascii="Arial" w:hAnsi="Arial" w:cs="Arial"/>
                <w:sz w:val="20"/>
                <w:szCs w:val="20"/>
              </w:rPr>
              <w:t xml:space="preserve">, with PA-positive sputum culture </w:t>
            </w:r>
          </w:p>
        </w:tc>
        <w:tc>
          <w:tcPr>
            <w:tcW w:w="1979" w:type="dxa"/>
            <w:tcBorders>
              <w:top w:val="single" w:sz="4" w:space="0" w:color="auto"/>
              <w:bottom w:val="single" w:sz="4" w:space="0" w:color="auto"/>
            </w:tcBorders>
          </w:tcPr>
          <w:p w14:paraId="6B6E5CD4" w14:textId="223F147B" w:rsidR="00954954" w:rsidRPr="00EF742C" w:rsidRDefault="00390B02">
            <w:pPr>
              <w:rPr>
                <w:rFonts w:ascii="Arial" w:hAnsi="Arial" w:cs="Arial"/>
                <w:sz w:val="20"/>
                <w:szCs w:val="20"/>
              </w:rPr>
            </w:pPr>
            <w:r w:rsidRPr="00EF742C">
              <w:rPr>
                <w:rFonts w:ascii="Arial" w:hAnsi="Arial" w:cs="Arial"/>
                <w:sz w:val="20"/>
                <w:szCs w:val="20"/>
              </w:rPr>
              <w:t>CF patients</w:t>
            </w:r>
            <w:r>
              <w:rPr>
                <w:rFonts w:ascii="Arial" w:hAnsi="Arial" w:cs="Arial"/>
                <w:sz w:val="20"/>
                <w:szCs w:val="20"/>
              </w:rPr>
              <w:t>, &gt;</w:t>
            </w:r>
            <w:r w:rsidRPr="00EF742C">
              <w:rPr>
                <w:rFonts w:ascii="Arial" w:hAnsi="Arial" w:cs="Arial"/>
                <w:sz w:val="20"/>
                <w:szCs w:val="20"/>
              </w:rPr>
              <w:t>6 years</w:t>
            </w:r>
            <w:r>
              <w:rPr>
                <w:rFonts w:ascii="Arial" w:hAnsi="Arial" w:cs="Arial"/>
                <w:sz w:val="20"/>
                <w:szCs w:val="20"/>
              </w:rPr>
              <w:t xml:space="preserve"> old, with chronic PA infection </w:t>
            </w:r>
          </w:p>
        </w:tc>
        <w:tc>
          <w:tcPr>
            <w:tcW w:w="1978" w:type="dxa"/>
            <w:tcBorders>
              <w:top w:val="single" w:sz="4" w:space="0" w:color="auto"/>
              <w:bottom w:val="single" w:sz="4" w:space="0" w:color="auto"/>
            </w:tcBorders>
          </w:tcPr>
          <w:p w14:paraId="1A5B78B7" w14:textId="1F927B1C" w:rsidR="00954954" w:rsidRPr="00EF742C" w:rsidRDefault="00390B02">
            <w:pPr>
              <w:rPr>
                <w:rFonts w:ascii="Arial" w:hAnsi="Arial" w:cs="Arial"/>
                <w:sz w:val="20"/>
                <w:szCs w:val="20"/>
              </w:rPr>
            </w:pPr>
            <w:r>
              <w:rPr>
                <w:rFonts w:ascii="Arial" w:hAnsi="Arial" w:cs="Arial"/>
                <w:sz w:val="20"/>
                <w:szCs w:val="20"/>
              </w:rPr>
              <w:t xml:space="preserve">CF patients, 6-18 years old, </w:t>
            </w:r>
            <w:r w:rsidR="00EA73BD">
              <w:rPr>
                <w:rFonts w:ascii="Arial" w:hAnsi="Arial" w:cs="Arial"/>
                <w:sz w:val="20"/>
                <w:szCs w:val="20"/>
              </w:rPr>
              <w:t>with no culture positive for PA within 1 year</w:t>
            </w:r>
          </w:p>
        </w:tc>
        <w:tc>
          <w:tcPr>
            <w:tcW w:w="1979" w:type="dxa"/>
            <w:tcBorders>
              <w:top w:val="single" w:sz="4" w:space="0" w:color="auto"/>
              <w:bottom w:val="single" w:sz="4" w:space="0" w:color="auto"/>
            </w:tcBorders>
          </w:tcPr>
          <w:p w14:paraId="62D4822C" w14:textId="7C9BBC55" w:rsidR="00954954" w:rsidRPr="00EF742C" w:rsidRDefault="00EA73BD">
            <w:pPr>
              <w:rPr>
                <w:rFonts w:ascii="Arial" w:hAnsi="Arial" w:cs="Arial"/>
                <w:sz w:val="20"/>
                <w:szCs w:val="20"/>
              </w:rPr>
            </w:pPr>
            <w:r>
              <w:rPr>
                <w:rFonts w:ascii="Arial" w:hAnsi="Arial" w:cs="Arial"/>
                <w:sz w:val="20"/>
                <w:szCs w:val="20"/>
              </w:rPr>
              <w:t>CF patients,</w:t>
            </w:r>
            <w:r w:rsidR="00297092">
              <w:rPr>
                <w:rFonts w:ascii="Arial" w:hAnsi="Arial" w:cs="Arial"/>
                <w:sz w:val="20"/>
                <w:szCs w:val="20"/>
              </w:rPr>
              <w:t xml:space="preserve"> &gt;6 years old</w:t>
            </w:r>
            <w:r w:rsidR="00B35A1E">
              <w:rPr>
                <w:rFonts w:ascii="Arial" w:hAnsi="Arial" w:cs="Arial"/>
                <w:sz w:val="20"/>
                <w:szCs w:val="20"/>
              </w:rPr>
              <w:t>, within chronic PA infection</w:t>
            </w:r>
            <w:r>
              <w:rPr>
                <w:rFonts w:ascii="Arial" w:hAnsi="Arial" w:cs="Arial"/>
                <w:sz w:val="20"/>
                <w:szCs w:val="20"/>
              </w:rPr>
              <w:t xml:space="preserve"> </w:t>
            </w:r>
          </w:p>
        </w:tc>
      </w:tr>
      <w:tr w:rsidR="00E6493B" w:rsidRPr="00EF742C" w14:paraId="62EC4FE8" w14:textId="0D92B7AA" w:rsidTr="00EA73BD">
        <w:tc>
          <w:tcPr>
            <w:tcW w:w="1328" w:type="dxa"/>
            <w:tcBorders>
              <w:top w:val="single" w:sz="4" w:space="0" w:color="auto"/>
              <w:bottom w:val="single" w:sz="4" w:space="0" w:color="auto"/>
            </w:tcBorders>
          </w:tcPr>
          <w:p w14:paraId="3C383D37" w14:textId="2A48FA39" w:rsidR="00954954" w:rsidRPr="00EA73BD" w:rsidRDefault="00AE6B89">
            <w:pPr>
              <w:rPr>
                <w:rFonts w:ascii="Arial" w:hAnsi="Arial" w:cs="Arial"/>
                <w:b/>
                <w:bCs/>
                <w:sz w:val="20"/>
                <w:szCs w:val="20"/>
              </w:rPr>
            </w:pPr>
            <w:r>
              <w:rPr>
                <w:rFonts w:ascii="Arial" w:hAnsi="Arial" w:cs="Arial"/>
                <w:b/>
                <w:bCs/>
                <w:sz w:val="20"/>
                <w:szCs w:val="20"/>
              </w:rPr>
              <w:t>Treatment</w:t>
            </w:r>
            <w:r w:rsidR="00954954" w:rsidRPr="00EA73BD">
              <w:rPr>
                <w:rFonts w:ascii="Arial" w:hAnsi="Arial" w:cs="Arial"/>
                <w:b/>
                <w:bCs/>
                <w:sz w:val="20"/>
                <w:szCs w:val="20"/>
              </w:rPr>
              <w:t>:</w:t>
            </w:r>
          </w:p>
        </w:tc>
        <w:tc>
          <w:tcPr>
            <w:tcW w:w="1978" w:type="dxa"/>
            <w:tcBorders>
              <w:top w:val="single" w:sz="4" w:space="0" w:color="auto"/>
              <w:bottom w:val="single" w:sz="4" w:space="0" w:color="auto"/>
            </w:tcBorders>
          </w:tcPr>
          <w:p w14:paraId="54913D5F" w14:textId="3A5FE66F" w:rsidR="00954954" w:rsidRPr="00EF742C" w:rsidRDefault="00954954">
            <w:pPr>
              <w:rPr>
                <w:rFonts w:ascii="Arial" w:hAnsi="Arial" w:cs="Arial"/>
                <w:sz w:val="20"/>
                <w:szCs w:val="20"/>
              </w:rPr>
            </w:pPr>
            <w:r>
              <w:rPr>
                <w:rFonts w:ascii="Arial" w:hAnsi="Arial" w:cs="Arial"/>
                <w:sz w:val="20"/>
                <w:szCs w:val="20"/>
              </w:rPr>
              <w:t xml:space="preserve">Aztreonam for inhalation solution. </w:t>
            </w:r>
            <w:r w:rsidRPr="00EF742C">
              <w:rPr>
                <w:rFonts w:ascii="Arial" w:hAnsi="Arial" w:cs="Arial"/>
                <w:sz w:val="20"/>
                <w:szCs w:val="20"/>
              </w:rPr>
              <w:t xml:space="preserve"> </w:t>
            </w:r>
          </w:p>
        </w:tc>
        <w:tc>
          <w:tcPr>
            <w:tcW w:w="1979" w:type="dxa"/>
            <w:tcBorders>
              <w:top w:val="single" w:sz="4" w:space="0" w:color="auto"/>
              <w:bottom w:val="single" w:sz="4" w:space="0" w:color="auto"/>
            </w:tcBorders>
          </w:tcPr>
          <w:p w14:paraId="150F7B34" w14:textId="30B0B227" w:rsidR="00954954" w:rsidRPr="00EF742C" w:rsidRDefault="00390B02">
            <w:pPr>
              <w:rPr>
                <w:rFonts w:ascii="Arial" w:hAnsi="Arial" w:cs="Arial"/>
                <w:sz w:val="20"/>
                <w:szCs w:val="20"/>
              </w:rPr>
            </w:pPr>
            <w:r>
              <w:rPr>
                <w:rFonts w:ascii="Arial" w:hAnsi="Arial" w:cs="Arial"/>
                <w:sz w:val="20"/>
                <w:szCs w:val="20"/>
              </w:rPr>
              <w:t xml:space="preserve">Colobreathe dry powder for inhalation </w:t>
            </w:r>
          </w:p>
        </w:tc>
        <w:tc>
          <w:tcPr>
            <w:tcW w:w="1978" w:type="dxa"/>
            <w:tcBorders>
              <w:top w:val="single" w:sz="4" w:space="0" w:color="auto"/>
              <w:bottom w:val="single" w:sz="4" w:space="0" w:color="auto"/>
            </w:tcBorders>
          </w:tcPr>
          <w:p w14:paraId="2E57E8B9" w14:textId="0D64E3AA" w:rsidR="00954954" w:rsidRPr="00EF742C" w:rsidRDefault="00EA73BD">
            <w:pPr>
              <w:rPr>
                <w:rFonts w:ascii="Arial" w:hAnsi="Arial" w:cs="Arial"/>
                <w:sz w:val="20"/>
                <w:szCs w:val="20"/>
              </w:rPr>
            </w:pPr>
            <w:r>
              <w:rPr>
                <w:rFonts w:ascii="Arial" w:hAnsi="Arial" w:cs="Arial"/>
                <w:sz w:val="20"/>
                <w:szCs w:val="20"/>
              </w:rPr>
              <w:t>Azithromycin</w:t>
            </w:r>
          </w:p>
        </w:tc>
        <w:tc>
          <w:tcPr>
            <w:tcW w:w="1979" w:type="dxa"/>
            <w:tcBorders>
              <w:top w:val="single" w:sz="4" w:space="0" w:color="auto"/>
              <w:bottom w:val="single" w:sz="4" w:space="0" w:color="auto"/>
            </w:tcBorders>
          </w:tcPr>
          <w:p w14:paraId="509CBAE4" w14:textId="04ABDB22" w:rsidR="00954954" w:rsidRPr="00EF742C" w:rsidRDefault="002256BA">
            <w:pPr>
              <w:rPr>
                <w:rFonts w:ascii="Arial" w:hAnsi="Arial" w:cs="Arial"/>
                <w:sz w:val="20"/>
                <w:szCs w:val="20"/>
              </w:rPr>
            </w:pPr>
            <w:r>
              <w:rPr>
                <w:rFonts w:ascii="Arial" w:hAnsi="Arial" w:cs="Arial"/>
                <w:sz w:val="20"/>
                <w:szCs w:val="20"/>
              </w:rPr>
              <w:t>Azithromycin</w:t>
            </w:r>
          </w:p>
        </w:tc>
      </w:tr>
      <w:tr w:rsidR="00E6493B" w:rsidRPr="00EF742C" w14:paraId="1E58052C" w14:textId="27BA9745" w:rsidTr="00EA73BD">
        <w:tc>
          <w:tcPr>
            <w:tcW w:w="1328" w:type="dxa"/>
            <w:tcBorders>
              <w:top w:val="single" w:sz="4" w:space="0" w:color="auto"/>
              <w:bottom w:val="single" w:sz="4" w:space="0" w:color="auto"/>
            </w:tcBorders>
          </w:tcPr>
          <w:p w14:paraId="1EC274CA" w14:textId="77777777" w:rsidR="00954954" w:rsidRPr="00EA73BD" w:rsidRDefault="00954954">
            <w:pPr>
              <w:rPr>
                <w:rFonts w:ascii="Arial" w:hAnsi="Arial" w:cs="Arial"/>
                <w:b/>
                <w:bCs/>
                <w:sz w:val="20"/>
                <w:szCs w:val="20"/>
              </w:rPr>
            </w:pPr>
            <w:r w:rsidRPr="00EA73BD">
              <w:rPr>
                <w:rFonts w:ascii="Arial" w:hAnsi="Arial" w:cs="Arial"/>
                <w:b/>
                <w:bCs/>
                <w:sz w:val="20"/>
                <w:szCs w:val="20"/>
              </w:rPr>
              <w:t>Comparator:</w:t>
            </w:r>
          </w:p>
        </w:tc>
        <w:tc>
          <w:tcPr>
            <w:tcW w:w="1978" w:type="dxa"/>
            <w:tcBorders>
              <w:top w:val="single" w:sz="4" w:space="0" w:color="auto"/>
              <w:bottom w:val="single" w:sz="4" w:space="0" w:color="auto"/>
            </w:tcBorders>
          </w:tcPr>
          <w:p w14:paraId="25072660" w14:textId="1916B71B" w:rsidR="00954954" w:rsidRPr="00EF742C" w:rsidRDefault="00954954">
            <w:pPr>
              <w:rPr>
                <w:rFonts w:ascii="Arial" w:hAnsi="Arial" w:cs="Arial"/>
                <w:sz w:val="20"/>
                <w:szCs w:val="20"/>
              </w:rPr>
            </w:pPr>
            <w:r>
              <w:rPr>
                <w:rFonts w:ascii="Arial" w:hAnsi="Arial" w:cs="Arial"/>
                <w:sz w:val="20"/>
                <w:szCs w:val="20"/>
              </w:rPr>
              <w:t xml:space="preserve">Tobramycin </w:t>
            </w:r>
            <w:r w:rsidR="00E6493B">
              <w:rPr>
                <w:rFonts w:ascii="Arial" w:hAnsi="Arial" w:cs="Arial"/>
                <w:sz w:val="20"/>
                <w:szCs w:val="20"/>
              </w:rPr>
              <w:t>inhaled solution</w:t>
            </w:r>
          </w:p>
        </w:tc>
        <w:tc>
          <w:tcPr>
            <w:tcW w:w="1979" w:type="dxa"/>
            <w:tcBorders>
              <w:top w:val="single" w:sz="4" w:space="0" w:color="auto"/>
              <w:bottom w:val="single" w:sz="4" w:space="0" w:color="auto"/>
            </w:tcBorders>
          </w:tcPr>
          <w:p w14:paraId="38A75BC7" w14:textId="4ED57D79" w:rsidR="00954954" w:rsidRPr="00EF742C" w:rsidRDefault="00390B02">
            <w:pPr>
              <w:rPr>
                <w:rFonts w:ascii="Arial" w:hAnsi="Arial" w:cs="Arial"/>
                <w:sz w:val="20"/>
                <w:szCs w:val="20"/>
              </w:rPr>
            </w:pPr>
            <w:r>
              <w:rPr>
                <w:rFonts w:ascii="Arial" w:hAnsi="Arial" w:cs="Arial"/>
                <w:sz w:val="20"/>
                <w:szCs w:val="20"/>
              </w:rPr>
              <w:t>Tobramycin inhale</w:t>
            </w:r>
            <w:r w:rsidR="009F55B9">
              <w:rPr>
                <w:rFonts w:ascii="Arial" w:hAnsi="Arial" w:cs="Arial"/>
                <w:sz w:val="20"/>
                <w:szCs w:val="20"/>
              </w:rPr>
              <w:t>d</w:t>
            </w:r>
            <w:r>
              <w:rPr>
                <w:rFonts w:ascii="Arial" w:hAnsi="Arial" w:cs="Arial"/>
                <w:sz w:val="20"/>
                <w:szCs w:val="20"/>
              </w:rPr>
              <w:t xml:space="preserve"> solution</w:t>
            </w:r>
          </w:p>
        </w:tc>
        <w:tc>
          <w:tcPr>
            <w:tcW w:w="1978" w:type="dxa"/>
            <w:tcBorders>
              <w:top w:val="single" w:sz="4" w:space="0" w:color="auto"/>
              <w:bottom w:val="single" w:sz="4" w:space="0" w:color="auto"/>
            </w:tcBorders>
          </w:tcPr>
          <w:p w14:paraId="5B31037A" w14:textId="44607B82" w:rsidR="00954954" w:rsidRPr="00EF742C" w:rsidRDefault="00EA73BD">
            <w:pPr>
              <w:rPr>
                <w:rFonts w:ascii="Arial" w:hAnsi="Arial" w:cs="Arial"/>
                <w:sz w:val="20"/>
                <w:szCs w:val="20"/>
              </w:rPr>
            </w:pPr>
            <w:r>
              <w:rPr>
                <w:rFonts w:ascii="Arial" w:hAnsi="Arial" w:cs="Arial"/>
                <w:sz w:val="20"/>
                <w:szCs w:val="20"/>
              </w:rPr>
              <w:t>Placebo</w:t>
            </w:r>
          </w:p>
        </w:tc>
        <w:tc>
          <w:tcPr>
            <w:tcW w:w="1979" w:type="dxa"/>
            <w:tcBorders>
              <w:top w:val="single" w:sz="4" w:space="0" w:color="auto"/>
              <w:bottom w:val="single" w:sz="4" w:space="0" w:color="auto"/>
            </w:tcBorders>
          </w:tcPr>
          <w:p w14:paraId="3C49EEC2" w14:textId="2DA0548F" w:rsidR="00954954" w:rsidRPr="00EF742C" w:rsidRDefault="002256BA">
            <w:pPr>
              <w:rPr>
                <w:rFonts w:ascii="Arial" w:hAnsi="Arial" w:cs="Arial"/>
                <w:sz w:val="20"/>
                <w:szCs w:val="20"/>
              </w:rPr>
            </w:pPr>
            <w:r>
              <w:rPr>
                <w:rFonts w:ascii="Arial" w:hAnsi="Arial" w:cs="Arial"/>
                <w:sz w:val="20"/>
                <w:szCs w:val="20"/>
              </w:rPr>
              <w:t>Placebo</w:t>
            </w:r>
          </w:p>
        </w:tc>
      </w:tr>
      <w:tr w:rsidR="00E6493B" w:rsidRPr="00EF742C" w14:paraId="2B0A3A2C" w14:textId="7B596742" w:rsidTr="00EA73BD">
        <w:tc>
          <w:tcPr>
            <w:tcW w:w="1328" w:type="dxa"/>
            <w:tcBorders>
              <w:top w:val="single" w:sz="4" w:space="0" w:color="auto"/>
              <w:bottom w:val="single" w:sz="4" w:space="0" w:color="auto"/>
            </w:tcBorders>
          </w:tcPr>
          <w:p w14:paraId="31CB29B9" w14:textId="77777777" w:rsidR="00954954" w:rsidRPr="00EA73BD" w:rsidRDefault="00954954">
            <w:pPr>
              <w:rPr>
                <w:rFonts w:ascii="Arial" w:hAnsi="Arial" w:cs="Arial"/>
                <w:b/>
                <w:bCs/>
                <w:sz w:val="20"/>
                <w:szCs w:val="20"/>
              </w:rPr>
            </w:pPr>
            <w:r w:rsidRPr="00EA73BD">
              <w:rPr>
                <w:rFonts w:ascii="Arial" w:hAnsi="Arial" w:cs="Arial"/>
                <w:b/>
                <w:bCs/>
                <w:sz w:val="20"/>
                <w:szCs w:val="20"/>
              </w:rPr>
              <w:t>Primary Outcome:</w:t>
            </w:r>
          </w:p>
        </w:tc>
        <w:tc>
          <w:tcPr>
            <w:tcW w:w="1978" w:type="dxa"/>
            <w:tcBorders>
              <w:top w:val="single" w:sz="4" w:space="0" w:color="auto"/>
              <w:bottom w:val="single" w:sz="4" w:space="0" w:color="auto"/>
            </w:tcBorders>
          </w:tcPr>
          <w:p w14:paraId="5A0C75A6" w14:textId="77777777" w:rsidR="00954954" w:rsidRPr="00EF742C" w:rsidRDefault="00954954">
            <w:pPr>
              <w:rPr>
                <w:rFonts w:ascii="Arial" w:hAnsi="Arial" w:cs="Arial"/>
                <w:sz w:val="20"/>
                <w:szCs w:val="20"/>
              </w:rPr>
            </w:pPr>
            <w:r w:rsidRPr="00EF742C">
              <w:rPr>
                <w:rFonts w:ascii="Arial" w:hAnsi="Arial" w:cs="Arial"/>
                <w:sz w:val="20"/>
                <w:szCs w:val="20"/>
              </w:rPr>
              <w:t>Change in FEV</w:t>
            </w:r>
            <w:r w:rsidRPr="00EF742C">
              <w:rPr>
                <w:rFonts w:ascii="Arial" w:hAnsi="Arial" w:cs="Arial"/>
                <w:sz w:val="20"/>
                <w:szCs w:val="20"/>
                <w:vertAlign w:val="subscript"/>
              </w:rPr>
              <w:t>1</w:t>
            </w:r>
            <w:r w:rsidRPr="00EF742C">
              <w:rPr>
                <w:rFonts w:ascii="Arial" w:hAnsi="Arial" w:cs="Arial"/>
                <w:sz w:val="20"/>
                <w:szCs w:val="20"/>
              </w:rPr>
              <w:t>%</w:t>
            </w:r>
          </w:p>
        </w:tc>
        <w:tc>
          <w:tcPr>
            <w:tcW w:w="1979" w:type="dxa"/>
            <w:tcBorders>
              <w:top w:val="single" w:sz="4" w:space="0" w:color="auto"/>
              <w:bottom w:val="single" w:sz="4" w:space="0" w:color="auto"/>
            </w:tcBorders>
          </w:tcPr>
          <w:p w14:paraId="3C87C658" w14:textId="4E79A527" w:rsidR="00954954" w:rsidRPr="00EF742C" w:rsidRDefault="00390B02">
            <w:pPr>
              <w:rPr>
                <w:rFonts w:ascii="Arial" w:hAnsi="Arial" w:cs="Arial"/>
                <w:sz w:val="20"/>
                <w:szCs w:val="20"/>
              </w:rPr>
            </w:pPr>
            <w:r>
              <w:rPr>
                <w:rFonts w:ascii="Arial" w:hAnsi="Arial" w:cs="Arial"/>
                <w:sz w:val="20"/>
                <w:szCs w:val="20"/>
              </w:rPr>
              <w:t xml:space="preserve">Change in </w:t>
            </w:r>
            <w:r w:rsidRPr="00EF742C">
              <w:rPr>
                <w:rFonts w:ascii="Arial" w:hAnsi="Arial" w:cs="Arial"/>
                <w:sz w:val="20"/>
                <w:szCs w:val="20"/>
              </w:rPr>
              <w:t>FEV</w:t>
            </w:r>
            <w:r w:rsidRPr="00EF742C">
              <w:rPr>
                <w:rFonts w:ascii="Arial" w:hAnsi="Arial" w:cs="Arial"/>
                <w:sz w:val="20"/>
                <w:szCs w:val="20"/>
                <w:vertAlign w:val="subscript"/>
              </w:rPr>
              <w:t>1</w:t>
            </w:r>
            <w:r w:rsidRPr="00EF742C">
              <w:rPr>
                <w:rFonts w:ascii="Arial" w:hAnsi="Arial" w:cs="Arial"/>
                <w:sz w:val="20"/>
                <w:szCs w:val="20"/>
              </w:rPr>
              <w:t>%</w:t>
            </w:r>
          </w:p>
        </w:tc>
        <w:tc>
          <w:tcPr>
            <w:tcW w:w="1978" w:type="dxa"/>
            <w:tcBorders>
              <w:top w:val="single" w:sz="4" w:space="0" w:color="auto"/>
              <w:bottom w:val="single" w:sz="4" w:space="0" w:color="auto"/>
            </w:tcBorders>
          </w:tcPr>
          <w:p w14:paraId="1B5CDD58" w14:textId="33096515" w:rsidR="00954954" w:rsidRPr="00EF742C" w:rsidRDefault="00EA73BD">
            <w:pPr>
              <w:rPr>
                <w:rFonts w:ascii="Arial" w:hAnsi="Arial" w:cs="Arial"/>
                <w:sz w:val="20"/>
                <w:szCs w:val="20"/>
              </w:rPr>
            </w:pPr>
            <w:r>
              <w:rPr>
                <w:rFonts w:ascii="Arial" w:hAnsi="Arial" w:cs="Arial"/>
                <w:sz w:val="20"/>
                <w:szCs w:val="20"/>
              </w:rPr>
              <w:t xml:space="preserve">Change in </w:t>
            </w:r>
            <w:r w:rsidRPr="00EF742C">
              <w:rPr>
                <w:rFonts w:ascii="Arial" w:hAnsi="Arial" w:cs="Arial"/>
                <w:sz w:val="20"/>
                <w:szCs w:val="20"/>
              </w:rPr>
              <w:t>FEV</w:t>
            </w:r>
            <w:r w:rsidRPr="00EF742C">
              <w:rPr>
                <w:rFonts w:ascii="Arial" w:hAnsi="Arial" w:cs="Arial"/>
                <w:sz w:val="20"/>
                <w:szCs w:val="20"/>
                <w:vertAlign w:val="subscript"/>
              </w:rPr>
              <w:t>1</w:t>
            </w:r>
            <w:r w:rsidRPr="00EF742C">
              <w:rPr>
                <w:rFonts w:ascii="Arial" w:hAnsi="Arial" w:cs="Arial"/>
                <w:sz w:val="20"/>
                <w:szCs w:val="20"/>
              </w:rPr>
              <w:t>%</w:t>
            </w:r>
          </w:p>
        </w:tc>
        <w:tc>
          <w:tcPr>
            <w:tcW w:w="1979" w:type="dxa"/>
            <w:tcBorders>
              <w:top w:val="single" w:sz="4" w:space="0" w:color="auto"/>
              <w:bottom w:val="single" w:sz="4" w:space="0" w:color="auto"/>
            </w:tcBorders>
          </w:tcPr>
          <w:p w14:paraId="2FDB4690" w14:textId="02001BBF" w:rsidR="00954954" w:rsidRPr="00EF742C" w:rsidRDefault="002256BA">
            <w:pPr>
              <w:rPr>
                <w:rFonts w:ascii="Arial" w:hAnsi="Arial" w:cs="Arial"/>
                <w:sz w:val="20"/>
                <w:szCs w:val="20"/>
              </w:rPr>
            </w:pPr>
            <w:r>
              <w:rPr>
                <w:rFonts w:ascii="Arial" w:hAnsi="Arial" w:cs="Arial"/>
                <w:sz w:val="20"/>
                <w:szCs w:val="20"/>
              </w:rPr>
              <w:t xml:space="preserve">Change in </w:t>
            </w:r>
            <w:r w:rsidRPr="00EF742C">
              <w:rPr>
                <w:rFonts w:ascii="Arial" w:hAnsi="Arial" w:cs="Arial"/>
                <w:sz w:val="20"/>
                <w:szCs w:val="20"/>
              </w:rPr>
              <w:t>FEV</w:t>
            </w:r>
            <w:r w:rsidRPr="00EF742C">
              <w:rPr>
                <w:rFonts w:ascii="Arial" w:hAnsi="Arial" w:cs="Arial"/>
                <w:sz w:val="20"/>
                <w:szCs w:val="20"/>
                <w:vertAlign w:val="subscript"/>
              </w:rPr>
              <w:t>1</w:t>
            </w:r>
            <w:r w:rsidRPr="00EF742C">
              <w:rPr>
                <w:rFonts w:ascii="Arial" w:hAnsi="Arial" w:cs="Arial"/>
                <w:sz w:val="20"/>
                <w:szCs w:val="20"/>
              </w:rPr>
              <w:t>%</w:t>
            </w:r>
          </w:p>
        </w:tc>
      </w:tr>
      <w:tr w:rsidR="00E6493B" w:rsidRPr="00EF742C" w14:paraId="5DDEB2C8" w14:textId="77777777" w:rsidTr="00EA73BD">
        <w:tc>
          <w:tcPr>
            <w:tcW w:w="1328" w:type="dxa"/>
            <w:tcBorders>
              <w:top w:val="single" w:sz="4" w:space="0" w:color="auto"/>
              <w:bottom w:val="single" w:sz="4" w:space="0" w:color="auto"/>
            </w:tcBorders>
          </w:tcPr>
          <w:p w14:paraId="4DA54284" w14:textId="7B2E2316" w:rsidR="00954954" w:rsidRPr="00EA73BD" w:rsidRDefault="00954954">
            <w:pPr>
              <w:rPr>
                <w:rFonts w:ascii="Arial" w:hAnsi="Arial" w:cs="Arial"/>
                <w:b/>
                <w:bCs/>
                <w:sz w:val="20"/>
                <w:szCs w:val="20"/>
              </w:rPr>
            </w:pPr>
            <w:r w:rsidRPr="00EA73BD">
              <w:rPr>
                <w:rFonts w:ascii="Arial" w:hAnsi="Arial" w:cs="Arial"/>
                <w:b/>
                <w:bCs/>
                <w:sz w:val="20"/>
                <w:szCs w:val="20"/>
              </w:rPr>
              <w:t>Secondary Outcomes:</w:t>
            </w:r>
          </w:p>
        </w:tc>
        <w:tc>
          <w:tcPr>
            <w:tcW w:w="1978" w:type="dxa"/>
            <w:tcBorders>
              <w:top w:val="single" w:sz="4" w:space="0" w:color="auto"/>
              <w:bottom w:val="single" w:sz="4" w:space="0" w:color="auto"/>
            </w:tcBorders>
          </w:tcPr>
          <w:p w14:paraId="74A61536" w14:textId="6A7A870A" w:rsidR="00954954" w:rsidRPr="00E6493B" w:rsidRDefault="00E6493B" w:rsidP="00E6493B">
            <w:pPr>
              <w:rPr>
                <w:rFonts w:ascii="Arial" w:hAnsi="Arial" w:cs="Arial"/>
                <w:sz w:val="20"/>
                <w:szCs w:val="20"/>
              </w:rPr>
            </w:pPr>
            <w:r>
              <w:rPr>
                <w:rFonts w:ascii="Arial" w:hAnsi="Arial" w:cs="Arial"/>
                <w:sz w:val="20"/>
                <w:szCs w:val="20"/>
              </w:rPr>
              <w:t>-</w:t>
            </w:r>
            <w:r w:rsidR="00954954" w:rsidRPr="00E6493B">
              <w:rPr>
                <w:rFonts w:ascii="Arial" w:hAnsi="Arial" w:cs="Arial"/>
                <w:sz w:val="20"/>
                <w:szCs w:val="20"/>
              </w:rPr>
              <w:t>Time to need for intravenous antibiotics</w:t>
            </w:r>
          </w:p>
          <w:p w14:paraId="57F5A0BC" w14:textId="50FF0C34" w:rsidR="00954954" w:rsidRPr="00E6493B" w:rsidRDefault="00E6493B" w:rsidP="00E6493B">
            <w:pPr>
              <w:rPr>
                <w:rFonts w:ascii="Arial" w:hAnsi="Arial" w:cs="Arial"/>
                <w:sz w:val="20"/>
                <w:szCs w:val="20"/>
              </w:rPr>
            </w:pPr>
            <w:r>
              <w:rPr>
                <w:rFonts w:ascii="Arial" w:hAnsi="Arial" w:cs="Arial"/>
                <w:sz w:val="20"/>
                <w:szCs w:val="20"/>
              </w:rPr>
              <w:t>-</w:t>
            </w:r>
            <w:r w:rsidR="00954954" w:rsidRPr="00E6493B">
              <w:rPr>
                <w:rFonts w:ascii="Arial" w:hAnsi="Arial" w:cs="Arial"/>
                <w:sz w:val="20"/>
                <w:szCs w:val="20"/>
              </w:rPr>
              <w:t>Time to first respiratory hospitalisation</w:t>
            </w:r>
          </w:p>
        </w:tc>
        <w:tc>
          <w:tcPr>
            <w:tcW w:w="1979" w:type="dxa"/>
            <w:tcBorders>
              <w:top w:val="single" w:sz="4" w:space="0" w:color="auto"/>
              <w:bottom w:val="single" w:sz="4" w:space="0" w:color="auto"/>
            </w:tcBorders>
          </w:tcPr>
          <w:p w14:paraId="64A97744" w14:textId="55A870C3" w:rsidR="00390B02" w:rsidRPr="00E6493B" w:rsidRDefault="00E6493B" w:rsidP="00E6493B">
            <w:pPr>
              <w:rPr>
                <w:rFonts w:ascii="Arial" w:hAnsi="Arial" w:cs="Arial"/>
                <w:sz w:val="20"/>
                <w:szCs w:val="20"/>
              </w:rPr>
            </w:pPr>
            <w:r>
              <w:rPr>
                <w:rFonts w:ascii="Arial" w:hAnsi="Arial" w:cs="Arial"/>
                <w:sz w:val="20"/>
                <w:szCs w:val="20"/>
              </w:rPr>
              <w:t>-</w:t>
            </w:r>
            <w:r w:rsidR="00390B02" w:rsidRPr="00E6493B">
              <w:rPr>
                <w:rFonts w:ascii="Arial" w:hAnsi="Arial" w:cs="Arial"/>
                <w:sz w:val="20"/>
                <w:szCs w:val="20"/>
              </w:rPr>
              <w:t>Time to first acute respiratory exacerbation</w:t>
            </w:r>
          </w:p>
          <w:p w14:paraId="052443E3" w14:textId="7DA247C6" w:rsidR="00390B02" w:rsidRPr="00E6493B" w:rsidRDefault="00E6493B" w:rsidP="00E6493B">
            <w:pPr>
              <w:rPr>
                <w:rFonts w:ascii="Arial" w:hAnsi="Arial" w:cs="Arial"/>
                <w:sz w:val="20"/>
                <w:szCs w:val="20"/>
              </w:rPr>
            </w:pPr>
            <w:r>
              <w:rPr>
                <w:rFonts w:ascii="Arial" w:hAnsi="Arial" w:cs="Arial"/>
                <w:sz w:val="20"/>
                <w:szCs w:val="20"/>
              </w:rPr>
              <w:t>-</w:t>
            </w:r>
            <w:r w:rsidR="00390B02" w:rsidRPr="00E6493B">
              <w:rPr>
                <w:rFonts w:ascii="Arial" w:hAnsi="Arial" w:cs="Arial"/>
                <w:sz w:val="20"/>
                <w:szCs w:val="20"/>
              </w:rPr>
              <w:t>Nutritional status</w:t>
            </w:r>
          </w:p>
        </w:tc>
        <w:tc>
          <w:tcPr>
            <w:tcW w:w="1978" w:type="dxa"/>
            <w:tcBorders>
              <w:top w:val="single" w:sz="4" w:space="0" w:color="auto"/>
              <w:bottom w:val="single" w:sz="4" w:space="0" w:color="auto"/>
            </w:tcBorders>
          </w:tcPr>
          <w:p w14:paraId="3C4088AE" w14:textId="6383F9C2" w:rsidR="00954954" w:rsidRDefault="00E6493B">
            <w:pPr>
              <w:rPr>
                <w:rFonts w:ascii="Arial" w:hAnsi="Arial" w:cs="Arial"/>
                <w:sz w:val="20"/>
                <w:szCs w:val="20"/>
              </w:rPr>
            </w:pPr>
            <w:r>
              <w:rPr>
                <w:rFonts w:ascii="Arial" w:hAnsi="Arial" w:cs="Arial"/>
                <w:sz w:val="20"/>
                <w:szCs w:val="20"/>
              </w:rPr>
              <w:t>-</w:t>
            </w:r>
            <w:r w:rsidR="00EA73BD">
              <w:rPr>
                <w:rFonts w:ascii="Arial" w:hAnsi="Arial" w:cs="Arial"/>
                <w:sz w:val="20"/>
                <w:szCs w:val="20"/>
              </w:rPr>
              <w:t>Additional pulmonary function end points</w:t>
            </w:r>
          </w:p>
          <w:p w14:paraId="5B4D0B0B" w14:textId="591183A2" w:rsidR="00EA73BD" w:rsidRPr="00EF742C" w:rsidRDefault="00E6493B">
            <w:pPr>
              <w:rPr>
                <w:rFonts w:ascii="Arial" w:hAnsi="Arial" w:cs="Arial"/>
                <w:sz w:val="20"/>
                <w:szCs w:val="20"/>
              </w:rPr>
            </w:pPr>
            <w:r>
              <w:rPr>
                <w:rFonts w:ascii="Arial" w:hAnsi="Arial" w:cs="Arial"/>
                <w:sz w:val="20"/>
                <w:szCs w:val="20"/>
              </w:rPr>
              <w:t>-</w:t>
            </w:r>
            <w:r w:rsidR="00EA73BD">
              <w:rPr>
                <w:rFonts w:ascii="Arial" w:hAnsi="Arial" w:cs="Arial"/>
                <w:sz w:val="20"/>
                <w:szCs w:val="20"/>
              </w:rPr>
              <w:t xml:space="preserve">Changes in microbiology </w:t>
            </w:r>
          </w:p>
        </w:tc>
        <w:tc>
          <w:tcPr>
            <w:tcW w:w="1979" w:type="dxa"/>
            <w:tcBorders>
              <w:top w:val="single" w:sz="4" w:space="0" w:color="auto"/>
              <w:bottom w:val="single" w:sz="4" w:space="0" w:color="auto"/>
            </w:tcBorders>
          </w:tcPr>
          <w:p w14:paraId="65E1C1FD" w14:textId="77777777" w:rsidR="00954954" w:rsidRDefault="00C91F4E">
            <w:pPr>
              <w:rPr>
                <w:rFonts w:ascii="Arial" w:hAnsi="Arial" w:cs="Arial"/>
                <w:sz w:val="20"/>
                <w:szCs w:val="20"/>
              </w:rPr>
            </w:pPr>
            <w:r>
              <w:rPr>
                <w:rFonts w:ascii="Arial" w:hAnsi="Arial" w:cs="Arial"/>
                <w:sz w:val="20"/>
                <w:szCs w:val="20"/>
              </w:rPr>
              <w:t>-Number of pulmonary exacerbations</w:t>
            </w:r>
          </w:p>
          <w:p w14:paraId="67C992A5" w14:textId="77777777" w:rsidR="00C91F4E" w:rsidRDefault="00C91F4E">
            <w:pPr>
              <w:rPr>
                <w:rFonts w:ascii="Arial" w:hAnsi="Arial" w:cs="Arial"/>
                <w:sz w:val="20"/>
                <w:szCs w:val="20"/>
              </w:rPr>
            </w:pPr>
            <w:r>
              <w:rPr>
                <w:rFonts w:ascii="Arial" w:hAnsi="Arial" w:cs="Arial"/>
                <w:sz w:val="20"/>
                <w:szCs w:val="20"/>
              </w:rPr>
              <w:t>-Hospitalisation rates</w:t>
            </w:r>
          </w:p>
          <w:p w14:paraId="35AD8BF3" w14:textId="19F55380" w:rsidR="00297092" w:rsidRPr="00EF742C" w:rsidRDefault="00297092">
            <w:pPr>
              <w:rPr>
                <w:rFonts w:ascii="Arial" w:hAnsi="Arial" w:cs="Arial"/>
                <w:sz w:val="20"/>
                <w:szCs w:val="20"/>
              </w:rPr>
            </w:pPr>
            <w:r>
              <w:rPr>
                <w:rFonts w:ascii="Arial" w:hAnsi="Arial" w:cs="Arial"/>
                <w:sz w:val="20"/>
                <w:szCs w:val="20"/>
              </w:rPr>
              <w:t xml:space="preserve">-Quality of life </w:t>
            </w:r>
          </w:p>
        </w:tc>
      </w:tr>
      <w:tr w:rsidR="00E6493B" w:rsidRPr="00EF742C" w14:paraId="7C3438AF" w14:textId="0A2ED842" w:rsidTr="00EA73BD">
        <w:tc>
          <w:tcPr>
            <w:tcW w:w="1328" w:type="dxa"/>
            <w:tcBorders>
              <w:top w:val="single" w:sz="4" w:space="0" w:color="auto"/>
              <w:bottom w:val="single" w:sz="4" w:space="0" w:color="auto"/>
            </w:tcBorders>
          </w:tcPr>
          <w:p w14:paraId="42666DCB" w14:textId="77777777" w:rsidR="00954954" w:rsidRPr="00EA73BD" w:rsidRDefault="00954954">
            <w:pPr>
              <w:rPr>
                <w:rFonts w:ascii="Arial" w:hAnsi="Arial" w:cs="Arial"/>
                <w:b/>
                <w:bCs/>
                <w:sz w:val="20"/>
                <w:szCs w:val="20"/>
              </w:rPr>
            </w:pPr>
            <w:r w:rsidRPr="00EA73BD">
              <w:rPr>
                <w:rFonts w:ascii="Arial" w:hAnsi="Arial" w:cs="Arial"/>
                <w:b/>
                <w:bCs/>
                <w:sz w:val="20"/>
                <w:szCs w:val="20"/>
              </w:rPr>
              <w:t>Time:</w:t>
            </w:r>
          </w:p>
        </w:tc>
        <w:tc>
          <w:tcPr>
            <w:tcW w:w="1978" w:type="dxa"/>
            <w:tcBorders>
              <w:top w:val="single" w:sz="4" w:space="0" w:color="auto"/>
              <w:bottom w:val="single" w:sz="4" w:space="0" w:color="auto"/>
            </w:tcBorders>
          </w:tcPr>
          <w:p w14:paraId="6E8EED58" w14:textId="6282E83D" w:rsidR="00954954" w:rsidRPr="00EF742C" w:rsidRDefault="00390B02">
            <w:pPr>
              <w:rPr>
                <w:rFonts w:ascii="Arial" w:hAnsi="Arial" w:cs="Arial"/>
                <w:sz w:val="20"/>
                <w:szCs w:val="20"/>
              </w:rPr>
            </w:pPr>
            <w:r>
              <w:rPr>
                <w:rFonts w:ascii="Arial" w:hAnsi="Arial" w:cs="Arial"/>
                <w:sz w:val="20"/>
                <w:szCs w:val="20"/>
              </w:rPr>
              <w:t>24 weeks</w:t>
            </w:r>
          </w:p>
        </w:tc>
        <w:tc>
          <w:tcPr>
            <w:tcW w:w="1979" w:type="dxa"/>
            <w:tcBorders>
              <w:top w:val="single" w:sz="4" w:space="0" w:color="auto"/>
              <w:bottom w:val="single" w:sz="4" w:space="0" w:color="auto"/>
            </w:tcBorders>
          </w:tcPr>
          <w:p w14:paraId="4F0D2E61" w14:textId="39975CA4" w:rsidR="00954954" w:rsidRPr="00EF742C" w:rsidRDefault="00390B02">
            <w:pPr>
              <w:rPr>
                <w:rFonts w:ascii="Arial" w:hAnsi="Arial" w:cs="Arial"/>
                <w:sz w:val="20"/>
                <w:szCs w:val="20"/>
              </w:rPr>
            </w:pPr>
            <w:r>
              <w:rPr>
                <w:rFonts w:ascii="Arial" w:hAnsi="Arial" w:cs="Arial"/>
                <w:sz w:val="20"/>
                <w:szCs w:val="20"/>
              </w:rPr>
              <w:t>24 weeks</w:t>
            </w:r>
          </w:p>
        </w:tc>
        <w:tc>
          <w:tcPr>
            <w:tcW w:w="1978" w:type="dxa"/>
            <w:tcBorders>
              <w:top w:val="single" w:sz="4" w:space="0" w:color="auto"/>
              <w:bottom w:val="single" w:sz="4" w:space="0" w:color="auto"/>
            </w:tcBorders>
          </w:tcPr>
          <w:p w14:paraId="3A46EEB5" w14:textId="7004562E" w:rsidR="00954954" w:rsidRPr="00EF742C" w:rsidRDefault="00EA73BD">
            <w:pPr>
              <w:rPr>
                <w:rFonts w:ascii="Arial" w:hAnsi="Arial" w:cs="Arial"/>
                <w:sz w:val="20"/>
                <w:szCs w:val="20"/>
              </w:rPr>
            </w:pPr>
            <w:r>
              <w:rPr>
                <w:rFonts w:ascii="Arial" w:hAnsi="Arial" w:cs="Arial"/>
                <w:sz w:val="20"/>
                <w:szCs w:val="20"/>
              </w:rPr>
              <w:t xml:space="preserve">24 weeks </w:t>
            </w:r>
          </w:p>
        </w:tc>
        <w:tc>
          <w:tcPr>
            <w:tcW w:w="1979" w:type="dxa"/>
            <w:tcBorders>
              <w:top w:val="single" w:sz="4" w:space="0" w:color="auto"/>
              <w:bottom w:val="single" w:sz="4" w:space="0" w:color="auto"/>
            </w:tcBorders>
          </w:tcPr>
          <w:p w14:paraId="422B1C91" w14:textId="7E8CDD9F" w:rsidR="00954954" w:rsidRPr="00EF742C" w:rsidRDefault="002256BA">
            <w:pPr>
              <w:rPr>
                <w:rFonts w:ascii="Arial" w:hAnsi="Arial" w:cs="Arial"/>
                <w:sz w:val="20"/>
                <w:szCs w:val="20"/>
              </w:rPr>
            </w:pPr>
            <w:r>
              <w:rPr>
                <w:rFonts w:ascii="Arial" w:hAnsi="Arial" w:cs="Arial"/>
                <w:sz w:val="20"/>
                <w:szCs w:val="20"/>
              </w:rPr>
              <w:t>24 weeks</w:t>
            </w:r>
          </w:p>
        </w:tc>
      </w:tr>
      <w:tr w:rsidR="00E6493B" w:rsidRPr="00EF742C" w14:paraId="145566B1" w14:textId="0AF3B02F" w:rsidTr="00EA73BD">
        <w:tc>
          <w:tcPr>
            <w:tcW w:w="1328" w:type="dxa"/>
            <w:tcBorders>
              <w:top w:val="single" w:sz="4" w:space="0" w:color="auto"/>
              <w:bottom w:val="single" w:sz="4" w:space="0" w:color="auto"/>
            </w:tcBorders>
          </w:tcPr>
          <w:p w14:paraId="7A6F8B2E" w14:textId="77777777" w:rsidR="00954954" w:rsidRPr="00EA73BD" w:rsidRDefault="00954954">
            <w:pPr>
              <w:rPr>
                <w:rFonts w:ascii="Arial" w:hAnsi="Arial" w:cs="Arial"/>
                <w:b/>
                <w:bCs/>
                <w:sz w:val="20"/>
                <w:szCs w:val="20"/>
              </w:rPr>
            </w:pPr>
            <w:r w:rsidRPr="00EA73BD">
              <w:rPr>
                <w:rFonts w:ascii="Arial" w:hAnsi="Arial" w:cs="Arial"/>
                <w:b/>
                <w:bCs/>
                <w:sz w:val="20"/>
                <w:szCs w:val="20"/>
              </w:rPr>
              <w:t>Setting:</w:t>
            </w:r>
          </w:p>
        </w:tc>
        <w:tc>
          <w:tcPr>
            <w:tcW w:w="1978" w:type="dxa"/>
            <w:tcBorders>
              <w:top w:val="single" w:sz="4" w:space="0" w:color="auto"/>
              <w:bottom w:val="single" w:sz="4" w:space="0" w:color="auto"/>
            </w:tcBorders>
          </w:tcPr>
          <w:p w14:paraId="243B5C6C" w14:textId="544964F4" w:rsidR="00954954" w:rsidRPr="00EF742C" w:rsidRDefault="00954954">
            <w:pPr>
              <w:rPr>
                <w:rFonts w:ascii="Arial" w:hAnsi="Arial" w:cs="Arial"/>
                <w:sz w:val="20"/>
                <w:szCs w:val="20"/>
              </w:rPr>
            </w:pPr>
            <w:r>
              <w:rPr>
                <w:rFonts w:ascii="Arial" w:hAnsi="Arial" w:cs="Arial"/>
                <w:sz w:val="20"/>
                <w:szCs w:val="20"/>
              </w:rPr>
              <w:t>Recruitment from CF centres in Europe and the US</w:t>
            </w:r>
            <w:r w:rsidR="00390B02">
              <w:rPr>
                <w:rFonts w:ascii="Arial" w:hAnsi="Arial" w:cs="Arial"/>
                <w:sz w:val="20"/>
                <w:szCs w:val="20"/>
              </w:rPr>
              <w:t>,</w:t>
            </w:r>
            <w:r>
              <w:rPr>
                <w:rFonts w:ascii="Arial" w:hAnsi="Arial" w:cs="Arial"/>
                <w:sz w:val="20"/>
                <w:szCs w:val="20"/>
              </w:rPr>
              <w:t xml:space="preserve"> </w:t>
            </w:r>
            <w:r w:rsidR="00390B02">
              <w:rPr>
                <w:rFonts w:ascii="Arial" w:hAnsi="Arial" w:cs="Arial"/>
                <w:sz w:val="20"/>
                <w:szCs w:val="20"/>
              </w:rPr>
              <w:t>2008-2010.</w:t>
            </w:r>
          </w:p>
        </w:tc>
        <w:tc>
          <w:tcPr>
            <w:tcW w:w="1979" w:type="dxa"/>
            <w:tcBorders>
              <w:top w:val="single" w:sz="4" w:space="0" w:color="auto"/>
              <w:bottom w:val="single" w:sz="4" w:space="0" w:color="auto"/>
            </w:tcBorders>
          </w:tcPr>
          <w:p w14:paraId="2385401F" w14:textId="0D9F719C" w:rsidR="00954954" w:rsidRPr="00EF742C" w:rsidRDefault="00390B02">
            <w:pPr>
              <w:rPr>
                <w:rFonts w:ascii="Arial" w:hAnsi="Arial" w:cs="Arial"/>
                <w:sz w:val="20"/>
                <w:szCs w:val="20"/>
              </w:rPr>
            </w:pPr>
            <w:r>
              <w:rPr>
                <w:rFonts w:ascii="Arial" w:hAnsi="Arial" w:cs="Arial"/>
                <w:sz w:val="20"/>
                <w:szCs w:val="20"/>
              </w:rPr>
              <w:t>Recruitment from CF centres in Europe,</w:t>
            </w:r>
            <w:r w:rsidR="00A0442C">
              <w:rPr>
                <w:rFonts w:ascii="Arial" w:hAnsi="Arial" w:cs="Arial"/>
                <w:sz w:val="20"/>
                <w:szCs w:val="20"/>
              </w:rPr>
              <w:t xml:space="preserve"> </w:t>
            </w:r>
            <w:r>
              <w:rPr>
                <w:rFonts w:ascii="Arial" w:hAnsi="Arial" w:cs="Arial"/>
                <w:sz w:val="20"/>
                <w:szCs w:val="20"/>
              </w:rPr>
              <w:t>2003</w:t>
            </w:r>
            <w:r w:rsidR="00735A03">
              <w:rPr>
                <w:rFonts w:ascii="Arial" w:hAnsi="Arial" w:cs="Arial"/>
                <w:sz w:val="20"/>
                <w:szCs w:val="20"/>
              </w:rPr>
              <w:t>-</w:t>
            </w:r>
            <w:r>
              <w:rPr>
                <w:rFonts w:ascii="Arial" w:hAnsi="Arial" w:cs="Arial"/>
                <w:sz w:val="20"/>
                <w:szCs w:val="20"/>
              </w:rPr>
              <w:t xml:space="preserve">2007. </w:t>
            </w:r>
          </w:p>
        </w:tc>
        <w:tc>
          <w:tcPr>
            <w:tcW w:w="1978" w:type="dxa"/>
            <w:tcBorders>
              <w:top w:val="single" w:sz="4" w:space="0" w:color="auto"/>
              <w:bottom w:val="single" w:sz="4" w:space="0" w:color="auto"/>
            </w:tcBorders>
          </w:tcPr>
          <w:p w14:paraId="1ABDB81B" w14:textId="4A821EA1" w:rsidR="00954954" w:rsidRPr="00EF742C" w:rsidRDefault="00EA73BD">
            <w:pPr>
              <w:rPr>
                <w:rFonts w:ascii="Arial" w:hAnsi="Arial" w:cs="Arial"/>
                <w:sz w:val="20"/>
                <w:szCs w:val="20"/>
              </w:rPr>
            </w:pPr>
            <w:r>
              <w:rPr>
                <w:rFonts w:ascii="Arial" w:hAnsi="Arial" w:cs="Arial"/>
                <w:sz w:val="20"/>
                <w:szCs w:val="20"/>
              </w:rPr>
              <w:t>Recruitment from CF centres in US and Canada, 2007-2009</w:t>
            </w:r>
          </w:p>
        </w:tc>
        <w:tc>
          <w:tcPr>
            <w:tcW w:w="1979" w:type="dxa"/>
            <w:tcBorders>
              <w:top w:val="single" w:sz="4" w:space="0" w:color="auto"/>
              <w:bottom w:val="single" w:sz="4" w:space="0" w:color="auto"/>
            </w:tcBorders>
          </w:tcPr>
          <w:p w14:paraId="41BAB5D1" w14:textId="6EAB2F86" w:rsidR="00954954" w:rsidRPr="00EF742C" w:rsidRDefault="00B33243">
            <w:pPr>
              <w:rPr>
                <w:rFonts w:ascii="Arial" w:hAnsi="Arial" w:cs="Arial"/>
                <w:sz w:val="20"/>
                <w:szCs w:val="20"/>
              </w:rPr>
            </w:pPr>
            <w:r>
              <w:rPr>
                <w:rFonts w:ascii="Arial" w:hAnsi="Arial" w:cs="Arial"/>
                <w:sz w:val="20"/>
                <w:szCs w:val="20"/>
              </w:rPr>
              <w:t>Recruitment from CF centres in US, 2000-2002</w:t>
            </w:r>
          </w:p>
        </w:tc>
      </w:tr>
    </w:tbl>
    <w:p w14:paraId="468C920D" w14:textId="77777777" w:rsidR="00954954" w:rsidRDefault="00954954"/>
    <w:p w14:paraId="523109B4" w14:textId="231A95A2" w:rsidR="00105CC2" w:rsidRDefault="00105CC2" w:rsidP="00105CC2">
      <w:pPr>
        <w:pStyle w:val="Heading2"/>
      </w:pPr>
      <w:r>
        <w:t>2.2 Risk of bias in target trials</w:t>
      </w:r>
    </w:p>
    <w:p w14:paraId="4B71D8A6" w14:textId="130F5722" w:rsidR="00105CC2" w:rsidRPr="008D242F" w:rsidRDefault="0069072E" w:rsidP="00105CC2">
      <w:pPr>
        <w:rPr>
          <w:rFonts w:ascii="Arial" w:hAnsi="Arial" w:cs="Arial"/>
          <w:sz w:val="20"/>
          <w:szCs w:val="20"/>
        </w:rPr>
      </w:pPr>
      <w:r w:rsidRPr="008D242F">
        <w:rPr>
          <w:rFonts w:ascii="Arial" w:hAnsi="Arial" w:cs="Arial"/>
          <w:sz w:val="20"/>
          <w:szCs w:val="20"/>
        </w:rPr>
        <w:t>Target t</w:t>
      </w:r>
      <w:r w:rsidR="008C7C05" w:rsidRPr="008D242F">
        <w:rPr>
          <w:rFonts w:ascii="Arial" w:hAnsi="Arial" w:cs="Arial"/>
          <w:sz w:val="20"/>
          <w:szCs w:val="20"/>
        </w:rPr>
        <w:t>rial</w:t>
      </w:r>
      <w:r w:rsidRPr="008D242F">
        <w:rPr>
          <w:rFonts w:ascii="Arial" w:hAnsi="Arial" w:cs="Arial"/>
          <w:sz w:val="20"/>
          <w:szCs w:val="20"/>
        </w:rPr>
        <w:t>s</w:t>
      </w:r>
      <w:r w:rsidR="008C7C05" w:rsidRPr="008D242F">
        <w:rPr>
          <w:rFonts w:ascii="Arial" w:hAnsi="Arial" w:cs="Arial"/>
          <w:sz w:val="20"/>
          <w:szCs w:val="20"/>
        </w:rPr>
        <w:t xml:space="preserve"> 1 and 2 were included in a Cochrane review on the use of </w:t>
      </w:r>
      <w:r w:rsidR="00104564" w:rsidRPr="008D242F">
        <w:rPr>
          <w:rFonts w:ascii="Arial" w:hAnsi="Arial" w:cs="Arial"/>
          <w:sz w:val="20"/>
          <w:szCs w:val="20"/>
        </w:rPr>
        <w:t xml:space="preserve">long-term </w:t>
      </w:r>
      <w:r w:rsidR="008C7C05" w:rsidRPr="008D242F">
        <w:rPr>
          <w:rFonts w:ascii="Arial" w:hAnsi="Arial" w:cs="Arial"/>
          <w:sz w:val="20"/>
          <w:szCs w:val="20"/>
        </w:rPr>
        <w:t>inhaled anti-pseudomonal antibiotics</w:t>
      </w:r>
      <w:r w:rsidR="00104564" w:rsidRPr="008D242F">
        <w:rPr>
          <w:rFonts w:ascii="Arial" w:hAnsi="Arial" w:cs="Arial"/>
          <w:sz w:val="20"/>
          <w:szCs w:val="20"/>
        </w:rPr>
        <w:t xml:space="preserve"> in cystic fibrosis [</w:t>
      </w:r>
      <w:r w:rsidR="0041372B" w:rsidRPr="008D242F">
        <w:rPr>
          <w:rFonts w:ascii="Arial" w:hAnsi="Arial" w:cs="Arial"/>
          <w:sz w:val="20"/>
          <w:szCs w:val="20"/>
        </w:rPr>
        <w:t>2</w:t>
      </w:r>
      <w:r w:rsidR="00D6569C" w:rsidRPr="008D242F">
        <w:rPr>
          <w:rFonts w:ascii="Arial" w:hAnsi="Arial" w:cs="Arial"/>
          <w:sz w:val="20"/>
          <w:szCs w:val="20"/>
        </w:rPr>
        <w:t>2</w:t>
      </w:r>
      <w:r w:rsidR="00104564" w:rsidRPr="008D242F">
        <w:rPr>
          <w:rFonts w:ascii="Arial" w:hAnsi="Arial" w:cs="Arial"/>
          <w:sz w:val="20"/>
          <w:szCs w:val="20"/>
        </w:rPr>
        <w:t>]</w:t>
      </w:r>
      <w:r w:rsidRPr="008D242F">
        <w:rPr>
          <w:rFonts w:ascii="Arial" w:hAnsi="Arial" w:cs="Arial"/>
          <w:sz w:val="20"/>
          <w:szCs w:val="20"/>
        </w:rPr>
        <w:t xml:space="preserve"> and target trials 3 and 4 were included in a Cochrane review on </w:t>
      </w:r>
      <w:r w:rsidR="00C548E5" w:rsidRPr="008D242F">
        <w:rPr>
          <w:rFonts w:ascii="Arial" w:hAnsi="Arial" w:cs="Arial"/>
          <w:sz w:val="20"/>
          <w:szCs w:val="20"/>
        </w:rPr>
        <w:t>the use of macrolide antibiotics in cystic fibrosis [</w:t>
      </w:r>
      <w:r w:rsidR="0041372B" w:rsidRPr="008D242F">
        <w:rPr>
          <w:rFonts w:ascii="Arial" w:hAnsi="Arial" w:cs="Arial"/>
          <w:sz w:val="20"/>
          <w:szCs w:val="20"/>
        </w:rPr>
        <w:t>2</w:t>
      </w:r>
      <w:r w:rsidR="00D6569C" w:rsidRPr="008D242F">
        <w:rPr>
          <w:rFonts w:ascii="Arial" w:hAnsi="Arial" w:cs="Arial"/>
          <w:sz w:val="20"/>
          <w:szCs w:val="20"/>
        </w:rPr>
        <w:t>3</w:t>
      </w:r>
      <w:r w:rsidR="00C548E5" w:rsidRPr="008D242F">
        <w:rPr>
          <w:rFonts w:ascii="Arial" w:hAnsi="Arial" w:cs="Arial"/>
          <w:sz w:val="20"/>
          <w:szCs w:val="20"/>
        </w:rPr>
        <w:t>]. The authors of these reviews assessed the risk of bias in each of the target trials. Their findings are summarised in Figure 1</w:t>
      </w:r>
    </w:p>
    <w:p w14:paraId="652ED4FB" w14:textId="77777777" w:rsidR="00C548E5" w:rsidRDefault="00C548E5" w:rsidP="00105CC2"/>
    <w:p w14:paraId="307D5EDA" w14:textId="397E9104" w:rsidR="005D4BDA" w:rsidRDefault="005D4BDA" w:rsidP="005D4BDA">
      <w:pPr>
        <w:pStyle w:val="Caption"/>
        <w:keepNext/>
      </w:pPr>
      <w:r>
        <w:lastRenderedPageBreak/>
        <w:t xml:space="preserve">Figure </w:t>
      </w:r>
      <w:fldSimple w:instr=" SEQ Figure \* ARABIC ">
        <w:r>
          <w:rPr>
            <w:noProof/>
          </w:rPr>
          <w:t>1</w:t>
        </w:r>
      </w:fldSimple>
      <w:r>
        <w:t xml:space="preserve">: </w:t>
      </w:r>
      <w:r w:rsidRPr="00433941">
        <w:t xml:space="preserve">Risk of bias summary: </w:t>
      </w:r>
      <w:r>
        <w:t xml:space="preserve">Cochrane </w:t>
      </w:r>
      <w:r w:rsidRPr="00433941">
        <w:t>review</w:t>
      </w:r>
      <w:r>
        <w:t xml:space="preserve"> [</w:t>
      </w:r>
      <w:r w:rsidR="00735A03">
        <w:t>22,23</w:t>
      </w:r>
      <w:r>
        <w:t>]</w:t>
      </w:r>
      <w:r w:rsidRPr="00433941">
        <w:t xml:space="preserve"> authors' judgements about each risk of bias item for each included study</w:t>
      </w:r>
    </w:p>
    <w:p w14:paraId="76622E7B" w14:textId="59661539" w:rsidR="008C7C05" w:rsidRDefault="00C548E5" w:rsidP="00105CC2">
      <w:r>
        <w:rPr>
          <w:noProof/>
        </w:rPr>
        <w:drawing>
          <wp:inline distT="0" distB="0" distL="0" distR="0" wp14:anchorId="3C4919A1" wp14:editId="152F3973">
            <wp:extent cx="5731510" cy="2433320"/>
            <wp:effectExtent l="0" t="0" r="2540" b="5080"/>
            <wp:docPr id="791859581" name="Picture 2" descr="A diagram of a diagram with red green and yellow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859581" name="Picture 2" descr="A diagram of a diagram with red green and yellow circle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731510" cy="2433320"/>
                    </a:xfrm>
                    <a:prstGeom prst="rect">
                      <a:avLst/>
                    </a:prstGeom>
                  </pic:spPr>
                </pic:pic>
              </a:graphicData>
            </a:graphic>
          </wp:inline>
        </w:drawing>
      </w:r>
    </w:p>
    <w:p w14:paraId="3A042173" w14:textId="107C4A20" w:rsidR="007A6953" w:rsidRPr="007A6953" w:rsidRDefault="007A6953" w:rsidP="00105CC2">
      <w:pPr>
        <w:rPr>
          <w:rFonts w:ascii="Arial" w:hAnsi="Arial" w:cs="Arial"/>
          <w:sz w:val="20"/>
          <w:szCs w:val="20"/>
        </w:rPr>
      </w:pPr>
      <w:r>
        <w:rPr>
          <w:rFonts w:ascii="Arial" w:hAnsi="Arial" w:cs="Arial"/>
          <w:sz w:val="20"/>
          <w:szCs w:val="20"/>
        </w:rPr>
        <w:t>There was a high risk of performance bias</w:t>
      </w:r>
      <w:r w:rsidR="00B816E4">
        <w:rPr>
          <w:rFonts w:ascii="Arial" w:hAnsi="Arial" w:cs="Arial"/>
          <w:sz w:val="20"/>
          <w:szCs w:val="20"/>
        </w:rPr>
        <w:t xml:space="preserve"> (blinding or participants and clinicians)</w:t>
      </w:r>
      <w:r>
        <w:rPr>
          <w:rFonts w:ascii="Arial" w:hAnsi="Arial" w:cs="Arial"/>
          <w:sz w:val="20"/>
          <w:szCs w:val="20"/>
        </w:rPr>
        <w:t xml:space="preserve"> </w:t>
      </w:r>
      <w:r w:rsidR="00B816E4">
        <w:rPr>
          <w:rFonts w:ascii="Arial" w:hAnsi="Arial" w:cs="Arial"/>
          <w:sz w:val="20"/>
          <w:szCs w:val="20"/>
        </w:rPr>
        <w:t>in target trials 1 and 2 [18-19], as they were described as open-label</w:t>
      </w:r>
      <w:r w:rsidR="0024062A">
        <w:rPr>
          <w:rFonts w:ascii="Arial" w:hAnsi="Arial" w:cs="Arial"/>
          <w:sz w:val="20"/>
          <w:szCs w:val="20"/>
        </w:rPr>
        <w:t>.</w:t>
      </w:r>
    </w:p>
    <w:p w14:paraId="3E447CDA" w14:textId="242A9BD3" w:rsidR="0079755F" w:rsidRDefault="0079755F" w:rsidP="001A3E2E">
      <w:pPr>
        <w:pStyle w:val="Heading1"/>
        <w:numPr>
          <w:ilvl w:val="0"/>
          <w:numId w:val="19"/>
        </w:numPr>
      </w:pPr>
      <w:r>
        <w:t>Data Source</w:t>
      </w:r>
    </w:p>
    <w:p w14:paraId="1DC99A9F" w14:textId="64FE7B7B" w:rsidR="00866BDD" w:rsidRDefault="00FD277E">
      <w:pPr>
        <w:rPr>
          <w:rFonts w:ascii="Arial" w:hAnsi="Arial" w:cs="Arial"/>
          <w:sz w:val="20"/>
          <w:szCs w:val="20"/>
        </w:rPr>
      </w:pPr>
      <w:r>
        <w:rPr>
          <w:rFonts w:ascii="Arial" w:hAnsi="Arial" w:cs="Arial"/>
          <w:sz w:val="20"/>
          <w:szCs w:val="20"/>
        </w:rPr>
        <w:t xml:space="preserve">The four target trials outlined in Section 2 will be emulated </w:t>
      </w:r>
      <w:r w:rsidR="008558BB">
        <w:rPr>
          <w:rFonts w:ascii="Arial" w:hAnsi="Arial" w:cs="Arial"/>
          <w:sz w:val="20"/>
          <w:szCs w:val="20"/>
        </w:rPr>
        <w:t>using data from t</w:t>
      </w:r>
      <w:r w:rsidR="00AB75D6" w:rsidRPr="00AA62F7">
        <w:rPr>
          <w:rFonts w:ascii="Arial" w:hAnsi="Arial" w:cs="Arial"/>
          <w:sz w:val="20"/>
          <w:szCs w:val="20"/>
        </w:rPr>
        <w:t>he UK CF Registry</w:t>
      </w:r>
      <w:r w:rsidR="00FE17CE">
        <w:rPr>
          <w:rFonts w:ascii="Arial" w:hAnsi="Arial" w:cs="Arial"/>
          <w:sz w:val="20"/>
          <w:szCs w:val="20"/>
        </w:rPr>
        <w:t xml:space="preserve"> [1</w:t>
      </w:r>
      <w:r w:rsidR="00D6569C">
        <w:rPr>
          <w:rFonts w:ascii="Arial" w:hAnsi="Arial" w:cs="Arial"/>
          <w:sz w:val="20"/>
          <w:szCs w:val="20"/>
        </w:rPr>
        <w:t>2</w:t>
      </w:r>
      <w:r w:rsidR="00FE17CE">
        <w:rPr>
          <w:rFonts w:ascii="Arial" w:hAnsi="Arial" w:cs="Arial"/>
          <w:sz w:val="20"/>
          <w:szCs w:val="20"/>
        </w:rPr>
        <w:t>]</w:t>
      </w:r>
      <w:r w:rsidR="008558BB">
        <w:rPr>
          <w:rFonts w:ascii="Arial" w:hAnsi="Arial" w:cs="Arial"/>
          <w:sz w:val="20"/>
          <w:szCs w:val="20"/>
        </w:rPr>
        <w:t>, which</w:t>
      </w:r>
      <w:r w:rsidR="00AB75D6" w:rsidRPr="00AA62F7">
        <w:rPr>
          <w:rFonts w:ascii="Arial" w:hAnsi="Arial" w:cs="Arial"/>
          <w:sz w:val="20"/>
          <w:szCs w:val="20"/>
        </w:rPr>
        <w:t xml:space="preserve"> is a national database sponsored and </w:t>
      </w:r>
      <w:r w:rsidR="009D2E80" w:rsidRPr="00AA62F7">
        <w:rPr>
          <w:rFonts w:ascii="Arial" w:hAnsi="Arial" w:cs="Arial"/>
          <w:sz w:val="20"/>
          <w:szCs w:val="20"/>
        </w:rPr>
        <w:t xml:space="preserve">hosted by the Cystic Fibrosis Trust, with </w:t>
      </w:r>
      <w:r w:rsidR="00357E65">
        <w:rPr>
          <w:rFonts w:ascii="Arial" w:hAnsi="Arial" w:cs="Arial"/>
          <w:sz w:val="20"/>
          <w:szCs w:val="20"/>
        </w:rPr>
        <w:t xml:space="preserve">NHS </w:t>
      </w:r>
      <w:r w:rsidR="009D2E80" w:rsidRPr="00AA62F7">
        <w:rPr>
          <w:rFonts w:ascii="Arial" w:hAnsi="Arial" w:cs="Arial"/>
          <w:sz w:val="20"/>
          <w:szCs w:val="20"/>
        </w:rPr>
        <w:t xml:space="preserve">Research Ethics Committee approval. Data are collected on time-invariant variables (e.g. sex, genotype data, diagnosis data) alongside longitudinal data at approximately annual reviews clinic visits (e.g. clinical measurements, hospital admissions, health complications, chronic medications, microbiology, transplants and death). </w:t>
      </w:r>
      <w:r w:rsidR="00B35A1E" w:rsidRPr="00AA62F7">
        <w:rPr>
          <w:rFonts w:ascii="Arial" w:hAnsi="Arial" w:cs="Arial"/>
          <w:sz w:val="20"/>
          <w:szCs w:val="20"/>
        </w:rPr>
        <w:t>The registry was established in 1996 and in 2007</w:t>
      </w:r>
      <w:r w:rsidR="005036EE">
        <w:rPr>
          <w:rFonts w:ascii="Arial" w:hAnsi="Arial" w:cs="Arial"/>
          <w:sz w:val="20"/>
          <w:szCs w:val="20"/>
        </w:rPr>
        <w:t>,</w:t>
      </w:r>
      <w:r w:rsidR="006C61C0" w:rsidRPr="00AA62F7">
        <w:rPr>
          <w:rFonts w:ascii="Arial" w:hAnsi="Arial" w:cs="Arial"/>
          <w:sz w:val="20"/>
          <w:szCs w:val="20"/>
        </w:rPr>
        <w:t xml:space="preserve"> </w:t>
      </w:r>
      <w:r w:rsidR="00ED058A">
        <w:rPr>
          <w:rFonts w:ascii="Arial" w:hAnsi="Arial" w:cs="Arial"/>
          <w:sz w:val="20"/>
          <w:szCs w:val="20"/>
        </w:rPr>
        <w:t>a new</w:t>
      </w:r>
      <w:r w:rsidR="00405B93">
        <w:rPr>
          <w:rFonts w:ascii="Arial" w:hAnsi="Arial" w:cs="Arial"/>
          <w:sz w:val="20"/>
          <w:szCs w:val="20"/>
        </w:rPr>
        <w:t xml:space="preserve"> web-</w:t>
      </w:r>
      <w:r w:rsidR="006C61C0" w:rsidRPr="00AA62F7">
        <w:rPr>
          <w:rFonts w:ascii="Arial" w:hAnsi="Arial" w:cs="Arial"/>
          <w:sz w:val="20"/>
          <w:szCs w:val="20"/>
        </w:rPr>
        <w:t xml:space="preserve">based </w:t>
      </w:r>
      <w:r w:rsidR="0024062A">
        <w:rPr>
          <w:rFonts w:ascii="Arial" w:hAnsi="Arial" w:cs="Arial"/>
          <w:sz w:val="20"/>
          <w:szCs w:val="20"/>
        </w:rPr>
        <w:t xml:space="preserve">data </w:t>
      </w:r>
      <w:r w:rsidR="006C61C0" w:rsidRPr="00AA62F7">
        <w:rPr>
          <w:rFonts w:ascii="Arial" w:hAnsi="Arial" w:cs="Arial"/>
          <w:sz w:val="20"/>
          <w:szCs w:val="20"/>
        </w:rPr>
        <w:t>collection system was introduced</w:t>
      </w:r>
      <w:r w:rsidR="00A6108C">
        <w:rPr>
          <w:rFonts w:ascii="Arial" w:hAnsi="Arial" w:cs="Arial"/>
          <w:sz w:val="20"/>
          <w:szCs w:val="20"/>
        </w:rPr>
        <w:t xml:space="preserve"> which helped improve data quality. </w:t>
      </w:r>
      <w:r w:rsidR="00207C3F">
        <w:rPr>
          <w:rFonts w:ascii="Arial" w:hAnsi="Arial" w:cs="Arial"/>
          <w:sz w:val="20"/>
          <w:szCs w:val="20"/>
        </w:rPr>
        <w:t xml:space="preserve">In 2016, the </w:t>
      </w:r>
      <w:r w:rsidR="005824F7">
        <w:rPr>
          <w:rFonts w:ascii="Arial" w:hAnsi="Arial" w:cs="Arial"/>
          <w:sz w:val="20"/>
          <w:szCs w:val="20"/>
        </w:rPr>
        <w:t>R</w:t>
      </w:r>
      <w:r w:rsidR="00207C3F">
        <w:rPr>
          <w:rFonts w:ascii="Arial" w:hAnsi="Arial" w:cs="Arial"/>
          <w:sz w:val="20"/>
          <w:szCs w:val="20"/>
        </w:rPr>
        <w:t>egistry moved to a new software platform w</w:t>
      </w:r>
      <w:r w:rsidR="005824F7">
        <w:rPr>
          <w:rFonts w:ascii="Arial" w:hAnsi="Arial" w:cs="Arial"/>
          <w:sz w:val="20"/>
          <w:szCs w:val="20"/>
        </w:rPr>
        <w:t>ith more advanced tools for data entry and tracking</w:t>
      </w:r>
      <w:r w:rsidR="00514D64">
        <w:rPr>
          <w:rFonts w:ascii="Arial" w:hAnsi="Arial" w:cs="Arial"/>
          <w:sz w:val="20"/>
          <w:szCs w:val="20"/>
        </w:rPr>
        <w:t xml:space="preserve"> </w:t>
      </w:r>
      <w:r w:rsidR="005824F7">
        <w:rPr>
          <w:rFonts w:ascii="Arial" w:hAnsi="Arial" w:cs="Arial"/>
          <w:sz w:val="20"/>
          <w:szCs w:val="20"/>
        </w:rPr>
        <w:t>and started</w:t>
      </w:r>
      <w:r w:rsidR="00207C3F">
        <w:rPr>
          <w:rFonts w:ascii="Arial" w:hAnsi="Arial" w:cs="Arial"/>
          <w:sz w:val="20"/>
          <w:szCs w:val="20"/>
        </w:rPr>
        <w:t xml:space="preserve"> </w:t>
      </w:r>
      <w:r w:rsidR="005824F7">
        <w:rPr>
          <w:rFonts w:ascii="Arial" w:hAnsi="Arial" w:cs="Arial"/>
          <w:sz w:val="20"/>
          <w:szCs w:val="20"/>
        </w:rPr>
        <w:t>c</w:t>
      </w:r>
      <w:r w:rsidR="009D2E80" w:rsidRPr="00AA62F7">
        <w:rPr>
          <w:rFonts w:ascii="Arial" w:hAnsi="Arial" w:cs="Arial"/>
          <w:sz w:val="20"/>
          <w:szCs w:val="20"/>
        </w:rPr>
        <w:t xml:space="preserve">ollecting data on treatment prescription start and stop dates. </w:t>
      </w:r>
      <w:r w:rsidR="009D1106">
        <w:rPr>
          <w:rFonts w:ascii="Arial" w:hAnsi="Arial" w:cs="Arial"/>
          <w:sz w:val="20"/>
          <w:szCs w:val="20"/>
        </w:rPr>
        <w:t>In this study we restrict to data from 2007 onwards</w:t>
      </w:r>
      <w:r w:rsidR="00662DC0">
        <w:rPr>
          <w:rFonts w:ascii="Arial" w:hAnsi="Arial" w:cs="Arial"/>
          <w:sz w:val="20"/>
          <w:szCs w:val="20"/>
        </w:rPr>
        <w:t>, to make use of the higher quality data obtained after the web-based collection system was introduced.</w:t>
      </w:r>
      <w:r w:rsidR="009946AB">
        <w:rPr>
          <w:rFonts w:ascii="Arial" w:hAnsi="Arial" w:cs="Arial"/>
          <w:sz w:val="20"/>
          <w:szCs w:val="20"/>
        </w:rPr>
        <w:t xml:space="preserve"> </w:t>
      </w:r>
      <w:r w:rsidR="00F10CBE" w:rsidRPr="00AA62F7">
        <w:rPr>
          <w:rFonts w:ascii="Arial" w:hAnsi="Arial" w:cs="Arial"/>
          <w:sz w:val="20"/>
          <w:szCs w:val="20"/>
        </w:rPr>
        <w:t xml:space="preserve">Data are entered onto the UK CF Registry by </w:t>
      </w:r>
      <w:r w:rsidR="004E1AA2">
        <w:rPr>
          <w:rFonts w:ascii="Arial" w:hAnsi="Arial" w:cs="Arial"/>
          <w:sz w:val="20"/>
          <w:szCs w:val="20"/>
        </w:rPr>
        <w:t>staff</w:t>
      </w:r>
      <w:r w:rsidR="00F10CBE" w:rsidRPr="00AA62F7">
        <w:rPr>
          <w:rFonts w:ascii="Arial" w:hAnsi="Arial" w:cs="Arial"/>
          <w:sz w:val="20"/>
          <w:szCs w:val="20"/>
        </w:rPr>
        <w:t xml:space="preserve"> at CF centres in the UK using a secure web portal. </w:t>
      </w:r>
      <w:r w:rsidR="00956571">
        <w:rPr>
          <w:rFonts w:ascii="Arial" w:hAnsi="Arial" w:cs="Arial"/>
          <w:sz w:val="20"/>
          <w:szCs w:val="20"/>
        </w:rPr>
        <w:t xml:space="preserve">The annual </w:t>
      </w:r>
      <w:r w:rsidR="00E92F37">
        <w:rPr>
          <w:rFonts w:ascii="Arial" w:hAnsi="Arial" w:cs="Arial"/>
          <w:sz w:val="20"/>
          <w:szCs w:val="20"/>
        </w:rPr>
        <w:t>review proforma used provides details on the data available in the Registry</w:t>
      </w:r>
      <w:r w:rsidR="009944E2">
        <w:rPr>
          <w:rFonts w:ascii="Arial" w:hAnsi="Arial" w:cs="Arial"/>
          <w:sz w:val="20"/>
          <w:szCs w:val="20"/>
        </w:rPr>
        <w:t xml:space="preserve"> [2</w:t>
      </w:r>
      <w:r w:rsidR="00D6569C">
        <w:rPr>
          <w:rFonts w:ascii="Arial" w:hAnsi="Arial" w:cs="Arial"/>
          <w:sz w:val="20"/>
          <w:szCs w:val="20"/>
        </w:rPr>
        <w:t>4</w:t>
      </w:r>
      <w:r w:rsidR="009944E2">
        <w:rPr>
          <w:rFonts w:ascii="Arial" w:hAnsi="Arial" w:cs="Arial"/>
          <w:sz w:val="20"/>
          <w:szCs w:val="20"/>
        </w:rPr>
        <w:t>]</w:t>
      </w:r>
      <w:r w:rsidR="00E92F37">
        <w:rPr>
          <w:rFonts w:ascii="Arial" w:hAnsi="Arial" w:cs="Arial"/>
          <w:sz w:val="20"/>
          <w:szCs w:val="20"/>
        </w:rPr>
        <w:t>.</w:t>
      </w:r>
    </w:p>
    <w:p w14:paraId="5B30DEAD" w14:textId="415949C4" w:rsidR="0079755F" w:rsidRDefault="0079755F" w:rsidP="001A3E2E">
      <w:pPr>
        <w:pStyle w:val="Heading1"/>
        <w:numPr>
          <w:ilvl w:val="0"/>
          <w:numId w:val="19"/>
        </w:numPr>
      </w:pPr>
      <w:r>
        <w:t>Research Methods</w:t>
      </w:r>
    </w:p>
    <w:p w14:paraId="14ACAF88" w14:textId="77777777" w:rsidR="003B6E4B" w:rsidRPr="003B6E4B" w:rsidRDefault="003B6E4B" w:rsidP="003B6E4B">
      <w:pPr>
        <w:rPr>
          <w:rFonts w:ascii="Arial" w:hAnsi="Arial" w:cs="Arial"/>
          <w:sz w:val="20"/>
          <w:szCs w:val="20"/>
        </w:rPr>
      </w:pPr>
      <w:r w:rsidRPr="003B6E4B">
        <w:rPr>
          <w:rFonts w:ascii="Arial" w:hAnsi="Arial" w:cs="Arial"/>
          <w:sz w:val="20"/>
          <w:szCs w:val="20"/>
        </w:rPr>
        <w:t>In this section we outline how the four target trials will be emulated using data from the UK CF Registry. In section 4.1. we describe aspects that are of relevance to all four trial emulations, including selecting the calendar time-period from which data will be used, defining “time zero”, and defining follow-up. In sections 4.2-4.5 we provide the full details of protocols for the target trials and the corresponding trial emulations. Section 4.6. provides an overview of the statistical analysis plans.</w:t>
      </w:r>
    </w:p>
    <w:p w14:paraId="51C1D8F2" w14:textId="77777777" w:rsidR="003B6E4B" w:rsidRPr="003B6E4B" w:rsidRDefault="003B6E4B" w:rsidP="003B6E4B"/>
    <w:p w14:paraId="34A5B77A" w14:textId="745C5B0F" w:rsidR="00670DB6" w:rsidRDefault="00670DB6" w:rsidP="00670DB6">
      <w:pPr>
        <w:pStyle w:val="Heading2"/>
      </w:pPr>
      <w:r>
        <w:t>4.1 Setting</w:t>
      </w:r>
    </w:p>
    <w:p w14:paraId="080052E3" w14:textId="053B7A03" w:rsidR="00670DB6" w:rsidRDefault="00670DB6" w:rsidP="00670DB6">
      <w:pPr>
        <w:pStyle w:val="Heading3"/>
      </w:pPr>
      <w:r>
        <w:t>4.1.1</w:t>
      </w:r>
      <w:r w:rsidR="00C85006">
        <w:t>Calendar t</w:t>
      </w:r>
      <w:r>
        <w:t>ime-periods</w:t>
      </w:r>
    </w:p>
    <w:p w14:paraId="74C2B107" w14:textId="33E757F0" w:rsidR="007B7890" w:rsidRDefault="00915479" w:rsidP="00B336FE">
      <w:pPr>
        <w:rPr>
          <w:rFonts w:ascii="Arial" w:hAnsi="Arial" w:cs="Arial"/>
          <w:sz w:val="20"/>
          <w:szCs w:val="20"/>
        </w:rPr>
      </w:pPr>
      <w:r>
        <w:rPr>
          <w:rFonts w:ascii="Arial" w:hAnsi="Arial" w:cs="Arial"/>
          <w:sz w:val="20"/>
          <w:szCs w:val="20"/>
        </w:rPr>
        <w:t xml:space="preserve">For each trial emulation, we consider </w:t>
      </w:r>
      <w:r w:rsidR="002B3A32">
        <w:rPr>
          <w:rFonts w:ascii="Arial" w:hAnsi="Arial" w:cs="Arial"/>
          <w:sz w:val="20"/>
          <w:szCs w:val="20"/>
        </w:rPr>
        <w:t xml:space="preserve">using data from </w:t>
      </w:r>
      <w:r>
        <w:rPr>
          <w:rFonts w:ascii="Arial" w:hAnsi="Arial" w:cs="Arial"/>
          <w:sz w:val="20"/>
          <w:szCs w:val="20"/>
        </w:rPr>
        <w:t xml:space="preserve">three </w:t>
      </w:r>
      <w:r w:rsidR="002B3A32">
        <w:rPr>
          <w:rFonts w:ascii="Arial" w:hAnsi="Arial" w:cs="Arial"/>
          <w:sz w:val="20"/>
          <w:szCs w:val="20"/>
        </w:rPr>
        <w:t xml:space="preserve">calendar </w:t>
      </w:r>
      <w:r>
        <w:rPr>
          <w:rFonts w:ascii="Arial" w:hAnsi="Arial" w:cs="Arial"/>
          <w:sz w:val="20"/>
          <w:szCs w:val="20"/>
        </w:rPr>
        <w:t>time-periods</w:t>
      </w:r>
      <w:r w:rsidR="00716347">
        <w:rPr>
          <w:rFonts w:ascii="Arial" w:hAnsi="Arial" w:cs="Arial"/>
          <w:sz w:val="20"/>
          <w:szCs w:val="20"/>
        </w:rPr>
        <w:t xml:space="preserve"> of three year’s duration.</w:t>
      </w:r>
      <w:r>
        <w:rPr>
          <w:rFonts w:ascii="Arial" w:hAnsi="Arial" w:cs="Arial"/>
          <w:sz w:val="20"/>
          <w:szCs w:val="20"/>
        </w:rPr>
        <w:t xml:space="preserve"> The first time-period</w:t>
      </w:r>
      <w:r w:rsidR="00D36E37">
        <w:rPr>
          <w:rFonts w:ascii="Arial" w:hAnsi="Arial" w:cs="Arial"/>
          <w:sz w:val="20"/>
          <w:szCs w:val="20"/>
        </w:rPr>
        <w:t xml:space="preserve"> </w:t>
      </w:r>
      <w:r w:rsidR="002B3A32">
        <w:rPr>
          <w:rFonts w:ascii="Arial" w:hAnsi="Arial" w:cs="Arial"/>
          <w:sz w:val="20"/>
          <w:szCs w:val="20"/>
        </w:rPr>
        <w:t>corresponds to that</w:t>
      </w:r>
      <w:r w:rsidR="00D36E37">
        <w:rPr>
          <w:rFonts w:ascii="Arial" w:hAnsi="Arial" w:cs="Arial"/>
          <w:sz w:val="20"/>
          <w:szCs w:val="20"/>
        </w:rPr>
        <w:t xml:space="preserve"> used in the associated target trial</w:t>
      </w:r>
      <w:r w:rsidR="007B2422">
        <w:rPr>
          <w:rFonts w:ascii="Arial" w:hAnsi="Arial" w:cs="Arial"/>
          <w:sz w:val="20"/>
          <w:szCs w:val="20"/>
        </w:rPr>
        <w:t xml:space="preserve">. </w:t>
      </w:r>
      <w:r w:rsidR="00326455">
        <w:rPr>
          <w:rFonts w:ascii="Arial" w:hAnsi="Arial" w:cs="Arial"/>
          <w:sz w:val="20"/>
          <w:szCs w:val="20"/>
        </w:rPr>
        <w:t xml:space="preserve">Using data from the same years as the target trial will ensure similar clinical settings between the target and emulated </w:t>
      </w:r>
      <w:r w:rsidR="00326455">
        <w:rPr>
          <w:rFonts w:ascii="Arial" w:hAnsi="Arial" w:cs="Arial"/>
          <w:sz w:val="20"/>
          <w:szCs w:val="20"/>
        </w:rPr>
        <w:lastRenderedPageBreak/>
        <w:t>trials. However,</w:t>
      </w:r>
      <w:r w:rsidR="00A11309">
        <w:rPr>
          <w:rFonts w:ascii="Arial" w:hAnsi="Arial" w:cs="Arial"/>
          <w:sz w:val="20"/>
          <w:szCs w:val="20"/>
        </w:rPr>
        <w:t xml:space="preserve"> performing a trial emulation using data from</w:t>
      </w:r>
      <w:r w:rsidR="00326455">
        <w:rPr>
          <w:rFonts w:ascii="Arial" w:hAnsi="Arial" w:cs="Arial"/>
          <w:sz w:val="20"/>
          <w:szCs w:val="20"/>
        </w:rPr>
        <w:t xml:space="preserve"> this time-period is not poss</w:t>
      </w:r>
      <w:r w:rsidR="00F406AC">
        <w:rPr>
          <w:rFonts w:ascii="Arial" w:hAnsi="Arial" w:cs="Arial"/>
          <w:sz w:val="20"/>
          <w:szCs w:val="20"/>
        </w:rPr>
        <w:t>ible if: (1) the target trial was conducted prior to 2007 (</w:t>
      </w:r>
      <w:r w:rsidR="009946AB">
        <w:rPr>
          <w:rFonts w:ascii="Arial" w:hAnsi="Arial" w:cs="Arial"/>
          <w:sz w:val="20"/>
          <w:szCs w:val="20"/>
        </w:rPr>
        <w:t xml:space="preserve">as </w:t>
      </w:r>
      <w:r w:rsidR="00F406AC">
        <w:rPr>
          <w:rFonts w:ascii="Arial" w:hAnsi="Arial" w:cs="Arial"/>
          <w:sz w:val="20"/>
          <w:szCs w:val="20"/>
        </w:rPr>
        <w:t xml:space="preserve">we </w:t>
      </w:r>
      <w:r w:rsidR="00C274B0">
        <w:rPr>
          <w:rFonts w:ascii="Arial" w:hAnsi="Arial" w:cs="Arial"/>
          <w:sz w:val="20"/>
          <w:szCs w:val="20"/>
        </w:rPr>
        <w:t xml:space="preserve">restrict </w:t>
      </w:r>
      <w:r w:rsidR="00A90DD0">
        <w:rPr>
          <w:rFonts w:ascii="Arial" w:hAnsi="Arial" w:cs="Arial"/>
          <w:sz w:val="20"/>
          <w:szCs w:val="20"/>
        </w:rPr>
        <w:t>to</w:t>
      </w:r>
      <w:r w:rsidR="00C274B0">
        <w:rPr>
          <w:rFonts w:ascii="Arial" w:hAnsi="Arial" w:cs="Arial"/>
          <w:sz w:val="20"/>
          <w:szCs w:val="20"/>
        </w:rPr>
        <w:t xml:space="preserve"> data </w:t>
      </w:r>
      <w:r w:rsidR="00A90DD0">
        <w:rPr>
          <w:rFonts w:ascii="Arial" w:hAnsi="Arial" w:cs="Arial"/>
          <w:sz w:val="20"/>
          <w:szCs w:val="20"/>
        </w:rPr>
        <w:t xml:space="preserve">from </w:t>
      </w:r>
      <w:r w:rsidR="00C274B0">
        <w:rPr>
          <w:rFonts w:ascii="Arial" w:hAnsi="Arial" w:cs="Arial"/>
          <w:sz w:val="20"/>
          <w:szCs w:val="20"/>
        </w:rPr>
        <w:t>2007</w:t>
      </w:r>
      <w:r w:rsidR="0041372B">
        <w:rPr>
          <w:rFonts w:ascii="Arial" w:hAnsi="Arial" w:cs="Arial"/>
          <w:sz w:val="20"/>
          <w:szCs w:val="20"/>
        </w:rPr>
        <w:t xml:space="preserve"> </w:t>
      </w:r>
      <w:r w:rsidR="00C274B0">
        <w:rPr>
          <w:rFonts w:ascii="Arial" w:hAnsi="Arial" w:cs="Arial"/>
          <w:sz w:val="20"/>
          <w:szCs w:val="20"/>
        </w:rPr>
        <w:t>onwards</w:t>
      </w:r>
      <w:r w:rsidR="00F406AC">
        <w:rPr>
          <w:rFonts w:ascii="Arial" w:hAnsi="Arial" w:cs="Arial"/>
          <w:sz w:val="20"/>
          <w:szCs w:val="20"/>
        </w:rPr>
        <w:t>)</w:t>
      </w:r>
      <w:r w:rsidR="00B313C3">
        <w:rPr>
          <w:rFonts w:ascii="Arial" w:hAnsi="Arial" w:cs="Arial"/>
          <w:sz w:val="20"/>
          <w:szCs w:val="20"/>
        </w:rPr>
        <w:t xml:space="preserve"> </w:t>
      </w:r>
      <w:r w:rsidR="00AF3B44">
        <w:rPr>
          <w:rFonts w:ascii="Arial" w:hAnsi="Arial" w:cs="Arial"/>
          <w:sz w:val="20"/>
          <w:szCs w:val="20"/>
        </w:rPr>
        <w:t>or</w:t>
      </w:r>
      <w:r w:rsidR="00B313C3">
        <w:rPr>
          <w:rFonts w:ascii="Arial" w:hAnsi="Arial" w:cs="Arial"/>
          <w:sz w:val="20"/>
          <w:szCs w:val="20"/>
        </w:rPr>
        <w:t xml:space="preserve"> (2) the treatments under investigation in the target trial were not yet approved for us</w:t>
      </w:r>
      <w:r w:rsidR="00DB5CBC">
        <w:rPr>
          <w:rFonts w:ascii="Arial" w:hAnsi="Arial" w:cs="Arial"/>
          <w:sz w:val="20"/>
          <w:szCs w:val="20"/>
        </w:rPr>
        <w:t>e</w:t>
      </w:r>
      <w:r w:rsidR="00B313C3">
        <w:rPr>
          <w:rFonts w:ascii="Arial" w:hAnsi="Arial" w:cs="Arial"/>
          <w:sz w:val="20"/>
          <w:szCs w:val="20"/>
        </w:rPr>
        <w:t xml:space="preserve"> in </w:t>
      </w:r>
      <w:r w:rsidR="00E51847">
        <w:rPr>
          <w:rFonts w:ascii="Arial" w:hAnsi="Arial" w:cs="Arial"/>
          <w:sz w:val="20"/>
          <w:szCs w:val="20"/>
        </w:rPr>
        <w:t>CF</w:t>
      </w:r>
      <w:r w:rsidR="00B313C3">
        <w:rPr>
          <w:rFonts w:ascii="Arial" w:hAnsi="Arial" w:cs="Arial"/>
          <w:sz w:val="20"/>
          <w:szCs w:val="20"/>
        </w:rPr>
        <w:t xml:space="preserve"> in the UK (</w:t>
      </w:r>
      <w:r w:rsidR="00D240EF">
        <w:rPr>
          <w:rFonts w:ascii="Arial" w:hAnsi="Arial" w:cs="Arial"/>
          <w:sz w:val="20"/>
          <w:szCs w:val="20"/>
        </w:rPr>
        <w:t>this would prevent us from finding sufficient numbers of people following the desired treatment strategies</w:t>
      </w:r>
      <w:r w:rsidR="00B313C3">
        <w:rPr>
          <w:rFonts w:ascii="Arial" w:hAnsi="Arial" w:cs="Arial"/>
          <w:sz w:val="20"/>
          <w:szCs w:val="20"/>
        </w:rPr>
        <w:t>)</w:t>
      </w:r>
      <w:r w:rsidR="00D240EF">
        <w:rPr>
          <w:rFonts w:ascii="Arial" w:hAnsi="Arial" w:cs="Arial"/>
          <w:sz w:val="20"/>
          <w:szCs w:val="20"/>
        </w:rPr>
        <w:t xml:space="preserve">. </w:t>
      </w:r>
      <w:r w:rsidR="007B7890">
        <w:rPr>
          <w:rFonts w:ascii="Arial" w:hAnsi="Arial" w:cs="Arial"/>
          <w:sz w:val="20"/>
          <w:szCs w:val="20"/>
        </w:rPr>
        <w:t>Table 2 summarises the time-period</w:t>
      </w:r>
      <w:r w:rsidR="00866DBC">
        <w:rPr>
          <w:rFonts w:ascii="Arial" w:hAnsi="Arial" w:cs="Arial"/>
          <w:sz w:val="20"/>
          <w:szCs w:val="20"/>
        </w:rPr>
        <w:t>s for the target trial and whether th</w:t>
      </w:r>
      <w:r w:rsidR="00AF3B44">
        <w:rPr>
          <w:rFonts w:ascii="Arial" w:hAnsi="Arial" w:cs="Arial"/>
          <w:sz w:val="20"/>
          <w:szCs w:val="20"/>
        </w:rPr>
        <w:t>e original time-periods</w:t>
      </w:r>
      <w:r w:rsidR="00866DBC">
        <w:rPr>
          <w:rFonts w:ascii="Arial" w:hAnsi="Arial" w:cs="Arial"/>
          <w:sz w:val="20"/>
          <w:szCs w:val="20"/>
        </w:rPr>
        <w:t xml:space="preserve"> </w:t>
      </w:r>
      <w:r w:rsidR="00AF3B44">
        <w:rPr>
          <w:rFonts w:ascii="Arial" w:hAnsi="Arial" w:cs="Arial"/>
          <w:sz w:val="20"/>
          <w:szCs w:val="20"/>
        </w:rPr>
        <w:t>are</w:t>
      </w:r>
      <w:r w:rsidR="00866DBC">
        <w:rPr>
          <w:rFonts w:ascii="Arial" w:hAnsi="Arial" w:cs="Arial"/>
          <w:sz w:val="20"/>
          <w:szCs w:val="20"/>
        </w:rPr>
        <w:t xml:space="preserve"> possible to emulate.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415"/>
        <w:gridCol w:w="5330"/>
      </w:tblGrid>
      <w:tr w:rsidR="00D71949" w14:paraId="59863FC3" w14:textId="77777777" w:rsidTr="00E737DF">
        <w:tc>
          <w:tcPr>
            <w:tcW w:w="9016" w:type="dxa"/>
            <w:gridSpan w:val="3"/>
            <w:tcBorders>
              <w:bottom w:val="single" w:sz="4" w:space="0" w:color="auto"/>
            </w:tcBorders>
          </w:tcPr>
          <w:p w14:paraId="2C83DB71" w14:textId="0533BB98" w:rsidR="00D71949" w:rsidRDefault="00D71949" w:rsidP="00B336FE">
            <w:pPr>
              <w:rPr>
                <w:rFonts w:ascii="Arial" w:hAnsi="Arial" w:cs="Arial"/>
                <w:sz w:val="20"/>
                <w:szCs w:val="20"/>
              </w:rPr>
            </w:pPr>
            <w:r w:rsidRPr="00CB3E27">
              <w:rPr>
                <w:rFonts w:ascii="Arial" w:hAnsi="Arial" w:cs="Arial"/>
                <w:i/>
                <w:iCs/>
                <w:sz w:val="20"/>
                <w:szCs w:val="20"/>
              </w:rPr>
              <w:t xml:space="preserve">Table 2: </w:t>
            </w:r>
            <w:r>
              <w:rPr>
                <w:rFonts w:ascii="Arial" w:hAnsi="Arial" w:cs="Arial"/>
                <w:i/>
                <w:iCs/>
                <w:sz w:val="20"/>
                <w:szCs w:val="20"/>
              </w:rPr>
              <w:t>Target trial time-periods</w:t>
            </w:r>
            <w:r w:rsidRPr="00CB3E27">
              <w:rPr>
                <w:rFonts w:ascii="Arial" w:hAnsi="Arial" w:cs="Arial"/>
                <w:i/>
                <w:iCs/>
                <w:sz w:val="20"/>
                <w:szCs w:val="20"/>
              </w:rPr>
              <w:t xml:space="preserve"> and </w:t>
            </w:r>
            <w:r>
              <w:rPr>
                <w:rFonts w:ascii="Arial" w:hAnsi="Arial" w:cs="Arial"/>
                <w:i/>
                <w:iCs/>
                <w:sz w:val="20"/>
                <w:szCs w:val="20"/>
              </w:rPr>
              <w:t>the feasibility of using these time-periods in trial emulations</w:t>
            </w:r>
          </w:p>
        </w:tc>
      </w:tr>
      <w:tr w:rsidR="00AF3B44" w14:paraId="15435FE5" w14:textId="3FC8122B" w:rsidTr="00E737DF">
        <w:tc>
          <w:tcPr>
            <w:tcW w:w="1271" w:type="dxa"/>
            <w:tcBorders>
              <w:top w:val="single" w:sz="4" w:space="0" w:color="auto"/>
              <w:bottom w:val="single" w:sz="4" w:space="0" w:color="auto"/>
            </w:tcBorders>
          </w:tcPr>
          <w:p w14:paraId="7C2700C6" w14:textId="2A8613C8" w:rsidR="00AF3B44" w:rsidRPr="00E737DF" w:rsidRDefault="00AF3B44" w:rsidP="00B336FE">
            <w:pPr>
              <w:rPr>
                <w:rFonts w:ascii="Arial" w:hAnsi="Arial" w:cs="Arial"/>
                <w:b/>
                <w:bCs/>
                <w:sz w:val="20"/>
                <w:szCs w:val="20"/>
              </w:rPr>
            </w:pPr>
            <w:r w:rsidRPr="00E737DF">
              <w:rPr>
                <w:rFonts w:ascii="Arial" w:hAnsi="Arial" w:cs="Arial"/>
                <w:b/>
                <w:bCs/>
                <w:sz w:val="20"/>
                <w:szCs w:val="20"/>
              </w:rPr>
              <w:t xml:space="preserve">Target trial </w:t>
            </w:r>
          </w:p>
        </w:tc>
        <w:tc>
          <w:tcPr>
            <w:tcW w:w="2415" w:type="dxa"/>
            <w:tcBorders>
              <w:top w:val="single" w:sz="4" w:space="0" w:color="auto"/>
              <w:bottom w:val="single" w:sz="4" w:space="0" w:color="auto"/>
            </w:tcBorders>
          </w:tcPr>
          <w:p w14:paraId="7F55AFBA" w14:textId="5E7B3A53" w:rsidR="00AF3B44" w:rsidRPr="00E737DF" w:rsidRDefault="00AF3B44" w:rsidP="00B336FE">
            <w:pPr>
              <w:rPr>
                <w:rFonts w:ascii="Arial" w:hAnsi="Arial" w:cs="Arial"/>
                <w:b/>
                <w:bCs/>
                <w:sz w:val="20"/>
                <w:szCs w:val="20"/>
              </w:rPr>
            </w:pPr>
            <w:r w:rsidRPr="00E737DF">
              <w:rPr>
                <w:rFonts w:ascii="Arial" w:hAnsi="Arial" w:cs="Arial"/>
                <w:b/>
                <w:bCs/>
                <w:sz w:val="20"/>
                <w:szCs w:val="20"/>
              </w:rPr>
              <w:t>Target trial time-period</w:t>
            </w:r>
          </w:p>
        </w:tc>
        <w:tc>
          <w:tcPr>
            <w:tcW w:w="5330" w:type="dxa"/>
            <w:tcBorders>
              <w:top w:val="single" w:sz="4" w:space="0" w:color="auto"/>
              <w:bottom w:val="single" w:sz="4" w:space="0" w:color="auto"/>
            </w:tcBorders>
          </w:tcPr>
          <w:p w14:paraId="796DDF59" w14:textId="2D7352EB" w:rsidR="00AF3B44" w:rsidRPr="00E737DF" w:rsidRDefault="00AF3B44" w:rsidP="00B336FE">
            <w:pPr>
              <w:rPr>
                <w:rFonts w:ascii="Arial" w:hAnsi="Arial" w:cs="Arial"/>
                <w:b/>
                <w:bCs/>
                <w:sz w:val="20"/>
                <w:szCs w:val="20"/>
              </w:rPr>
            </w:pPr>
            <w:r w:rsidRPr="00E737DF">
              <w:rPr>
                <w:rFonts w:ascii="Arial" w:hAnsi="Arial" w:cs="Arial"/>
                <w:b/>
                <w:bCs/>
                <w:sz w:val="20"/>
                <w:szCs w:val="20"/>
              </w:rPr>
              <w:t>Possible to emulate?</w:t>
            </w:r>
          </w:p>
        </w:tc>
      </w:tr>
      <w:tr w:rsidR="00AF3B44" w14:paraId="0282A044" w14:textId="2FB7B16A" w:rsidTr="00E737DF">
        <w:tc>
          <w:tcPr>
            <w:tcW w:w="1271" w:type="dxa"/>
            <w:tcBorders>
              <w:top w:val="single" w:sz="4" w:space="0" w:color="auto"/>
            </w:tcBorders>
          </w:tcPr>
          <w:p w14:paraId="54C28844" w14:textId="0B3B17A5" w:rsidR="00AF3B44" w:rsidRDefault="00AF3B44" w:rsidP="00B336FE">
            <w:pPr>
              <w:rPr>
                <w:rFonts w:ascii="Arial" w:hAnsi="Arial" w:cs="Arial"/>
                <w:sz w:val="20"/>
                <w:szCs w:val="20"/>
              </w:rPr>
            </w:pPr>
            <w:r>
              <w:rPr>
                <w:rFonts w:ascii="Arial" w:hAnsi="Arial" w:cs="Arial"/>
                <w:sz w:val="20"/>
                <w:szCs w:val="20"/>
              </w:rPr>
              <w:t>1</w:t>
            </w:r>
            <w:r w:rsidR="00B506DD">
              <w:rPr>
                <w:rFonts w:ascii="Arial" w:hAnsi="Arial" w:cs="Arial"/>
                <w:sz w:val="20"/>
                <w:szCs w:val="20"/>
              </w:rPr>
              <w:t xml:space="preserve"> </w:t>
            </w:r>
          </w:p>
        </w:tc>
        <w:tc>
          <w:tcPr>
            <w:tcW w:w="2415" w:type="dxa"/>
            <w:tcBorders>
              <w:top w:val="single" w:sz="4" w:space="0" w:color="auto"/>
            </w:tcBorders>
          </w:tcPr>
          <w:p w14:paraId="45F27BC2" w14:textId="27179408" w:rsidR="00AF3B44" w:rsidRDefault="00AF3B44" w:rsidP="00B336FE">
            <w:pPr>
              <w:rPr>
                <w:rFonts w:ascii="Arial" w:hAnsi="Arial" w:cs="Arial"/>
                <w:sz w:val="20"/>
                <w:szCs w:val="20"/>
              </w:rPr>
            </w:pPr>
            <w:r>
              <w:rPr>
                <w:rFonts w:ascii="Arial" w:hAnsi="Arial" w:cs="Arial"/>
                <w:sz w:val="20"/>
                <w:szCs w:val="20"/>
              </w:rPr>
              <w:t>2008-2010</w:t>
            </w:r>
          </w:p>
        </w:tc>
        <w:tc>
          <w:tcPr>
            <w:tcW w:w="5330" w:type="dxa"/>
            <w:tcBorders>
              <w:top w:val="single" w:sz="4" w:space="0" w:color="auto"/>
            </w:tcBorders>
          </w:tcPr>
          <w:p w14:paraId="351DEE86" w14:textId="3DEA3096" w:rsidR="00AF3B44" w:rsidRDefault="00E737DF" w:rsidP="00B336FE">
            <w:pPr>
              <w:rPr>
                <w:rFonts w:ascii="Arial" w:hAnsi="Arial" w:cs="Arial"/>
                <w:sz w:val="20"/>
                <w:szCs w:val="20"/>
              </w:rPr>
            </w:pPr>
            <w:r>
              <w:rPr>
                <w:rFonts w:ascii="Arial" w:hAnsi="Arial" w:cs="Arial"/>
                <w:sz w:val="20"/>
                <w:szCs w:val="20"/>
              </w:rPr>
              <w:t>×</w:t>
            </w:r>
            <w:r w:rsidR="00D71949">
              <w:rPr>
                <w:rFonts w:ascii="Arial" w:hAnsi="Arial" w:cs="Arial"/>
                <w:sz w:val="20"/>
                <w:szCs w:val="20"/>
              </w:rPr>
              <w:t xml:space="preserve"> Aztreonam</w:t>
            </w:r>
            <w:r w:rsidR="00F709A3">
              <w:rPr>
                <w:rFonts w:ascii="Arial" w:hAnsi="Arial" w:cs="Arial"/>
                <w:sz w:val="20"/>
                <w:szCs w:val="20"/>
              </w:rPr>
              <w:t xml:space="preserve"> </w:t>
            </w:r>
            <w:r w:rsidR="00D71949">
              <w:rPr>
                <w:rFonts w:ascii="Arial" w:hAnsi="Arial" w:cs="Arial"/>
                <w:sz w:val="20"/>
                <w:szCs w:val="20"/>
              </w:rPr>
              <w:t xml:space="preserve">was approved for use in the UK in 2015. </w:t>
            </w:r>
          </w:p>
        </w:tc>
      </w:tr>
      <w:tr w:rsidR="00AF3B44" w14:paraId="15815092" w14:textId="1AB3C9C0" w:rsidTr="00E737DF">
        <w:tc>
          <w:tcPr>
            <w:tcW w:w="1271" w:type="dxa"/>
          </w:tcPr>
          <w:p w14:paraId="684AFB8F" w14:textId="42BA118F" w:rsidR="00AF3B44" w:rsidRDefault="00AF3B44" w:rsidP="00B336FE">
            <w:pPr>
              <w:rPr>
                <w:rFonts w:ascii="Arial" w:hAnsi="Arial" w:cs="Arial"/>
                <w:sz w:val="20"/>
                <w:szCs w:val="20"/>
              </w:rPr>
            </w:pPr>
            <w:r>
              <w:rPr>
                <w:rFonts w:ascii="Arial" w:hAnsi="Arial" w:cs="Arial"/>
                <w:sz w:val="20"/>
                <w:szCs w:val="20"/>
              </w:rPr>
              <w:t>2</w:t>
            </w:r>
          </w:p>
        </w:tc>
        <w:tc>
          <w:tcPr>
            <w:tcW w:w="2415" w:type="dxa"/>
          </w:tcPr>
          <w:p w14:paraId="1FA19943" w14:textId="4E03AB84" w:rsidR="00AF3B44" w:rsidRDefault="00AF3B44" w:rsidP="00B336FE">
            <w:pPr>
              <w:rPr>
                <w:rFonts w:ascii="Arial" w:hAnsi="Arial" w:cs="Arial"/>
                <w:sz w:val="20"/>
                <w:szCs w:val="20"/>
              </w:rPr>
            </w:pPr>
            <w:r>
              <w:rPr>
                <w:rFonts w:ascii="Arial" w:hAnsi="Arial" w:cs="Arial"/>
                <w:sz w:val="20"/>
                <w:szCs w:val="20"/>
              </w:rPr>
              <w:t>2003-2007</w:t>
            </w:r>
          </w:p>
        </w:tc>
        <w:tc>
          <w:tcPr>
            <w:tcW w:w="5330" w:type="dxa"/>
          </w:tcPr>
          <w:p w14:paraId="7E4F9141" w14:textId="124F31F3" w:rsidR="00AF3B44" w:rsidRDefault="00E737DF" w:rsidP="00B336FE">
            <w:pPr>
              <w:rPr>
                <w:rFonts w:ascii="Arial" w:hAnsi="Arial" w:cs="Arial"/>
                <w:sz w:val="20"/>
                <w:szCs w:val="20"/>
              </w:rPr>
            </w:pPr>
            <w:r>
              <w:rPr>
                <w:rFonts w:ascii="Arial" w:hAnsi="Arial" w:cs="Arial"/>
                <w:sz w:val="20"/>
                <w:szCs w:val="20"/>
              </w:rPr>
              <w:t xml:space="preserve">× </w:t>
            </w:r>
            <w:r w:rsidR="00D71949">
              <w:rPr>
                <w:rFonts w:ascii="Arial" w:hAnsi="Arial" w:cs="Arial"/>
                <w:sz w:val="20"/>
                <w:szCs w:val="20"/>
              </w:rPr>
              <w:t>Trial was conducted prior to 2007.</w:t>
            </w:r>
          </w:p>
        </w:tc>
      </w:tr>
      <w:tr w:rsidR="00AF3B44" w14:paraId="75B8BB99" w14:textId="6FDD963C" w:rsidTr="00E737DF">
        <w:tc>
          <w:tcPr>
            <w:tcW w:w="1271" w:type="dxa"/>
          </w:tcPr>
          <w:p w14:paraId="1CFCB17B" w14:textId="352152AB" w:rsidR="00AF3B44" w:rsidRDefault="005F56AC" w:rsidP="00B336FE">
            <w:pPr>
              <w:rPr>
                <w:rFonts w:ascii="Arial" w:hAnsi="Arial" w:cs="Arial"/>
                <w:sz w:val="20"/>
                <w:szCs w:val="20"/>
              </w:rPr>
            </w:pPr>
            <w:r>
              <w:rPr>
                <w:rFonts w:ascii="Arial" w:hAnsi="Arial" w:cs="Arial"/>
                <w:sz w:val="20"/>
                <w:szCs w:val="20"/>
              </w:rPr>
              <w:t>3</w:t>
            </w:r>
            <w:r w:rsidR="00B506DD">
              <w:rPr>
                <w:rFonts w:ascii="Arial" w:hAnsi="Arial" w:cs="Arial"/>
                <w:sz w:val="20"/>
                <w:szCs w:val="20"/>
              </w:rPr>
              <w:t xml:space="preserve"> </w:t>
            </w:r>
          </w:p>
        </w:tc>
        <w:tc>
          <w:tcPr>
            <w:tcW w:w="2415" w:type="dxa"/>
          </w:tcPr>
          <w:p w14:paraId="25317741" w14:textId="289151BF" w:rsidR="00AF3B44" w:rsidRDefault="00AF3B44" w:rsidP="00B336FE">
            <w:pPr>
              <w:rPr>
                <w:rFonts w:ascii="Arial" w:hAnsi="Arial" w:cs="Arial"/>
                <w:sz w:val="20"/>
                <w:szCs w:val="20"/>
              </w:rPr>
            </w:pPr>
            <w:r>
              <w:rPr>
                <w:rFonts w:ascii="Arial" w:hAnsi="Arial" w:cs="Arial"/>
                <w:sz w:val="20"/>
                <w:szCs w:val="20"/>
              </w:rPr>
              <w:t>2007-2009</w:t>
            </w:r>
          </w:p>
        </w:tc>
        <w:tc>
          <w:tcPr>
            <w:tcW w:w="5330" w:type="dxa"/>
          </w:tcPr>
          <w:p w14:paraId="22D961ED" w14:textId="17EFCFAD" w:rsidR="00AF3B44" w:rsidRDefault="00E737DF" w:rsidP="00B336FE">
            <w:pPr>
              <w:rPr>
                <w:rFonts w:ascii="Arial" w:hAnsi="Arial" w:cs="Arial"/>
                <w:sz w:val="20"/>
                <w:szCs w:val="20"/>
              </w:rPr>
            </w:pPr>
            <w:r>
              <w:rPr>
                <w:rFonts w:ascii="Arial" w:hAnsi="Arial" w:cs="Arial"/>
                <w:sz w:val="20"/>
                <w:szCs w:val="20"/>
              </w:rPr>
              <w:sym w:font="Wingdings" w:char="F0FC"/>
            </w:r>
            <w:r w:rsidR="00D71949">
              <w:rPr>
                <w:rFonts w:ascii="Arial" w:hAnsi="Arial" w:cs="Arial"/>
                <w:sz w:val="20"/>
                <w:szCs w:val="20"/>
              </w:rPr>
              <w:t xml:space="preserve"> </w:t>
            </w:r>
          </w:p>
        </w:tc>
      </w:tr>
      <w:tr w:rsidR="00AF3B44" w14:paraId="7EE749E4" w14:textId="13D60AEE" w:rsidTr="00E737DF">
        <w:tc>
          <w:tcPr>
            <w:tcW w:w="1271" w:type="dxa"/>
            <w:tcBorders>
              <w:bottom w:val="single" w:sz="4" w:space="0" w:color="auto"/>
            </w:tcBorders>
          </w:tcPr>
          <w:p w14:paraId="4B01C542" w14:textId="16668617" w:rsidR="00AF3B44" w:rsidRDefault="00AF3B44" w:rsidP="00B336FE">
            <w:pPr>
              <w:rPr>
                <w:rFonts w:ascii="Arial" w:hAnsi="Arial" w:cs="Arial"/>
                <w:sz w:val="20"/>
                <w:szCs w:val="20"/>
              </w:rPr>
            </w:pPr>
            <w:r>
              <w:rPr>
                <w:rFonts w:ascii="Arial" w:hAnsi="Arial" w:cs="Arial"/>
                <w:sz w:val="20"/>
                <w:szCs w:val="20"/>
              </w:rPr>
              <w:t>4</w:t>
            </w:r>
            <w:r w:rsidR="00B506DD">
              <w:rPr>
                <w:rFonts w:ascii="Arial" w:hAnsi="Arial" w:cs="Arial"/>
                <w:sz w:val="20"/>
                <w:szCs w:val="20"/>
              </w:rPr>
              <w:t xml:space="preserve"> </w:t>
            </w:r>
          </w:p>
        </w:tc>
        <w:tc>
          <w:tcPr>
            <w:tcW w:w="2415" w:type="dxa"/>
            <w:tcBorders>
              <w:bottom w:val="single" w:sz="4" w:space="0" w:color="auto"/>
            </w:tcBorders>
          </w:tcPr>
          <w:p w14:paraId="1DF94561" w14:textId="674EAC93" w:rsidR="00AF3B44" w:rsidRDefault="00AF3B44" w:rsidP="00B336FE">
            <w:pPr>
              <w:rPr>
                <w:rFonts w:ascii="Arial" w:hAnsi="Arial" w:cs="Arial"/>
                <w:sz w:val="20"/>
                <w:szCs w:val="20"/>
              </w:rPr>
            </w:pPr>
            <w:r>
              <w:rPr>
                <w:rFonts w:ascii="Arial" w:hAnsi="Arial" w:cs="Arial"/>
                <w:sz w:val="20"/>
                <w:szCs w:val="20"/>
              </w:rPr>
              <w:t>2000-2002</w:t>
            </w:r>
          </w:p>
        </w:tc>
        <w:tc>
          <w:tcPr>
            <w:tcW w:w="5330" w:type="dxa"/>
            <w:tcBorders>
              <w:bottom w:val="single" w:sz="4" w:space="0" w:color="auto"/>
            </w:tcBorders>
          </w:tcPr>
          <w:p w14:paraId="156E167E" w14:textId="733F4505" w:rsidR="00AF3B44" w:rsidRDefault="00E737DF" w:rsidP="00B336FE">
            <w:pPr>
              <w:rPr>
                <w:rFonts w:ascii="Arial" w:hAnsi="Arial" w:cs="Arial"/>
                <w:sz w:val="20"/>
                <w:szCs w:val="20"/>
              </w:rPr>
            </w:pPr>
            <w:r>
              <w:rPr>
                <w:rFonts w:ascii="Arial" w:hAnsi="Arial" w:cs="Arial"/>
                <w:sz w:val="20"/>
                <w:szCs w:val="20"/>
              </w:rPr>
              <w:t xml:space="preserve">× </w:t>
            </w:r>
            <w:r w:rsidR="00D71949">
              <w:rPr>
                <w:rFonts w:ascii="Arial" w:hAnsi="Arial" w:cs="Arial"/>
                <w:sz w:val="20"/>
                <w:szCs w:val="20"/>
              </w:rPr>
              <w:t>Trial was conducted prior to 2007.</w:t>
            </w:r>
          </w:p>
        </w:tc>
      </w:tr>
    </w:tbl>
    <w:p w14:paraId="6A064C05" w14:textId="77777777" w:rsidR="00F6216B" w:rsidRDefault="00F6216B" w:rsidP="00B336FE">
      <w:pPr>
        <w:rPr>
          <w:rFonts w:ascii="Arial" w:hAnsi="Arial" w:cs="Arial"/>
          <w:sz w:val="20"/>
          <w:szCs w:val="20"/>
        </w:rPr>
      </w:pPr>
    </w:p>
    <w:p w14:paraId="5A394D45" w14:textId="4C8F54E0" w:rsidR="00B95C14" w:rsidRDefault="0091082A" w:rsidP="00B336FE">
      <w:pPr>
        <w:rPr>
          <w:rFonts w:ascii="Arial" w:hAnsi="Arial" w:cs="Arial"/>
          <w:sz w:val="20"/>
          <w:szCs w:val="20"/>
        </w:rPr>
      </w:pPr>
      <w:r>
        <w:rPr>
          <w:rFonts w:ascii="Arial" w:hAnsi="Arial" w:cs="Arial"/>
          <w:sz w:val="20"/>
          <w:szCs w:val="20"/>
        </w:rPr>
        <w:t xml:space="preserve">The second time-period </w:t>
      </w:r>
      <w:r w:rsidR="00AE33D9">
        <w:rPr>
          <w:rFonts w:ascii="Arial" w:hAnsi="Arial" w:cs="Arial"/>
          <w:sz w:val="20"/>
          <w:szCs w:val="20"/>
        </w:rPr>
        <w:t>considered i</w:t>
      </w:r>
      <w:r w:rsidR="00EB48B7">
        <w:rPr>
          <w:rFonts w:ascii="Arial" w:hAnsi="Arial" w:cs="Arial"/>
          <w:sz w:val="20"/>
          <w:szCs w:val="20"/>
        </w:rPr>
        <w:t>s</w:t>
      </w:r>
      <w:r w:rsidR="00AE33D9">
        <w:rPr>
          <w:rFonts w:ascii="Arial" w:hAnsi="Arial" w:cs="Arial"/>
          <w:sz w:val="20"/>
          <w:szCs w:val="20"/>
        </w:rPr>
        <w:t xml:space="preserve"> 2016-2018</w:t>
      </w:r>
      <w:r w:rsidR="00EB48B7">
        <w:rPr>
          <w:rFonts w:ascii="Arial" w:hAnsi="Arial" w:cs="Arial"/>
          <w:sz w:val="20"/>
          <w:szCs w:val="20"/>
        </w:rPr>
        <w:t xml:space="preserve">. This </w:t>
      </w:r>
      <w:r>
        <w:rPr>
          <w:rFonts w:ascii="Arial" w:hAnsi="Arial" w:cs="Arial"/>
          <w:sz w:val="20"/>
          <w:szCs w:val="20"/>
        </w:rPr>
        <w:t>uses</w:t>
      </w:r>
      <w:r w:rsidR="001F3F35">
        <w:rPr>
          <w:rFonts w:ascii="Arial" w:hAnsi="Arial" w:cs="Arial"/>
          <w:sz w:val="20"/>
          <w:szCs w:val="20"/>
        </w:rPr>
        <w:t xml:space="preserve"> more recent </w:t>
      </w:r>
      <w:r w:rsidR="00D6569C">
        <w:rPr>
          <w:rFonts w:ascii="Arial" w:hAnsi="Arial" w:cs="Arial"/>
          <w:sz w:val="20"/>
          <w:szCs w:val="20"/>
        </w:rPr>
        <w:t>data but</w:t>
      </w:r>
      <w:r w:rsidR="001F3F35">
        <w:rPr>
          <w:rFonts w:ascii="Arial" w:hAnsi="Arial" w:cs="Arial"/>
          <w:sz w:val="20"/>
          <w:szCs w:val="20"/>
        </w:rPr>
        <w:t xml:space="preserve"> ends </w:t>
      </w:r>
      <w:r w:rsidR="000D3F5E">
        <w:rPr>
          <w:rFonts w:ascii="Arial" w:hAnsi="Arial" w:cs="Arial"/>
          <w:sz w:val="20"/>
          <w:szCs w:val="20"/>
        </w:rPr>
        <w:t>before</w:t>
      </w:r>
      <w:r w:rsidR="00CA476C">
        <w:rPr>
          <w:rFonts w:ascii="Arial" w:hAnsi="Arial" w:cs="Arial"/>
          <w:sz w:val="20"/>
          <w:szCs w:val="20"/>
        </w:rPr>
        <w:t xml:space="preserve"> disease modifying treatments called</w:t>
      </w:r>
      <w:r w:rsidR="000D3F5E">
        <w:rPr>
          <w:rFonts w:ascii="Arial" w:hAnsi="Arial" w:cs="Arial"/>
          <w:sz w:val="20"/>
          <w:szCs w:val="20"/>
        </w:rPr>
        <w:t xml:space="preserve"> CFTR modulators became widespread in clinical practice</w:t>
      </w:r>
      <w:r w:rsidR="00EF094A">
        <w:rPr>
          <w:rFonts w:ascii="Arial" w:hAnsi="Arial" w:cs="Arial"/>
          <w:sz w:val="20"/>
          <w:szCs w:val="20"/>
        </w:rPr>
        <w:t xml:space="preserve">. </w:t>
      </w:r>
      <w:r w:rsidR="00716347">
        <w:rPr>
          <w:rFonts w:ascii="Arial" w:hAnsi="Arial" w:cs="Arial"/>
          <w:sz w:val="20"/>
          <w:szCs w:val="20"/>
        </w:rPr>
        <w:t>The third time-period uses the most recent data available</w:t>
      </w:r>
      <w:r w:rsidR="00EB48B7">
        <w:rPr>
          <w:rFonts w:ascii="Arial" w:hAnsi="Arial" w:cs="Arial"/>
          <w:sz w:val="20"/>
          <w:szCs w:val="20"/>
        </w:rPr>
        <w:t xml:space="preserve"> from</w:t>
      </w:r>
      <w:r w:rsidR="00716347">
        <w:rPr>
          <w:rFonts w:ascii="Arial" w:hAnsi="Arial" w:cs="Arial"/>
          <w:sz w:val="20"/>
          <w:szCs w:val="20"/>
        </w:rPr>
        <w:t xml:space="preserve"> 2020-2023. This allows us to compare results from the emulated trials pre- and post- the introduction of CFTR modulators.</w:t>
      </w:r>
      <w:r w:rsidR="00D71949">
        <w:rPr>
          <w:rFonts w:ascii="Arial" w:hAnsi="Arial" w:cs="Arial"/>
          <w:sz w:val="20"/>
          <w:szCs w:val="20"/>
        </w:rPr>
        <w:t xml:space="preserve"> Both time</w:t>
      </w:r>
      <w:r w:rsidR="00E737DF">
        <w:rPr>
          <w:rFonts w:ascii="Arial" w:hAnsi="Arial" w:cs="Arial"/>
          <w:sz w:val="20"/>
          <w:szCs w:val="20"/>
        </w:rPr>
        <w:t>-periods (pre-modulator: 201</w:t>
      </w:r>
      <w:r w:rsidR="00DE52A6">
        <w:rPr>
          <w:rFonts w:ascii="Arial" w:hAnsi="Arial" w:cs="Arial"/>
          <w:sz w:val="20"/>
          <w:szCs w:val="20"/>
        </w:rPr>
        <w:t>6</w:t>
      </w:r>
      <w:r w:rsidR="00E737DF">
        <w:rPr>
          <w:rFonts w:ascii="Arial" w:hAnsi="Arial" w:cs="Arial"/>
          <w:sz w:val="20"/>
          <w:szCs w:val="20"/>
        </w:rPr>
        <w:t>-201</w:t>
      </w:r>
      <w:r w:rsidR="00DE52A6">
        <w:rPr>
          <w:rFonts w:ascii="Arial" w:hAnsi="Arial" w:cs="Arial"/>
          <w:sz w:val="20"/>
          <w:szCs w:val="20"/>
        </w:rPr>
        <w:t>8</w:t>
      </w:r>
      <w:r w:rsidR="00E737DF">
        <w:rPr>
          <w:rFonts w:ascii="Arial" w:hAnsi="Arial" w:cs="Arial"/>
          <w:sz w:val="20"/>
          <w:szCs w:val="20"/>
        </w:rPr>
        <w:t xml:space="preserve"> and post-modulator: 2020-2023)</w:t>
      </w:r>
      <w:r w:rsidR="00D71949">
        <w:rPr>
          <w:rFonts w:ascii="Arial" w:hAnsi="Arial" w:cs="Arial"/>
          <w:sz w:val="20"/>
          <w:szCs w:val="20"/>
        </w:rPr>
        <w:t xml:space="preserve"> </w:t>
      </w:r>
      <w:r w:rsidR="00E737DF">
        <w:rPr>
          <w:rFonts w:ascii="Arial" w:hAnsi="Arial" w:cs="Arial"/>
          <w:sz w:val="20"/>
          <w:szCs w:val="20"/>
        </w:rPr>
        <w:t>are</w:t>
      </w:r>
      <w:r w:rsidR="00D71949">
        <w:rPr>
          <w:rFonts w:ascii="Arial" w:hAnsi="Arial" w:cs="Arial"/>
          <w:sz w:val="20"/>
          <w:szCs w:val="20"/>
        </w:rPr>
        <w:t xml:space="preserve"> feasible for all target trials.</w:t>
      </w:r>
      <w:r w:rsidR="00E737DF">
        <w:rPr>
          <w:rFonts w:ascii="Arial" w:hAnsi="Arial" w:cs="Arial"/>
          <w:sz w:val="20"/>
          <w:szCs w:val="20"/>
        </w:rPr>
        <w:t xml:space="preserve"> </w:t>
      </w:r>
    </w:p>
    <w:p w14:paraId="7766D056" w14:textId="213D37EE" w:rsidR="00651BE4" w:rsidRPr="00E737DF" w:rsidRDefault="00651BE4" w:rsidP="00B336FE">
      <w:pPr>
        <w:rPr>
          <w:rFonts w:ascii="Arial" w:hAnsi="Arial" w:cs="Arial"/>
          <w:sz w:val="20"/>
          <w:szCs w:val="20"/>
        </w:rPr>
      </w:pPr>
      <w:r w:rsidRPr="00EF742C">
        <w:rPr>
          <w:rFonts w:ascii="Arial" w:hAnsi="Arial" w:cs="Arial"/>
          <w:bCs/>
          <w:sz w:val="20"/>
          <w:szCs w:val="20"/>
        </w:rPr>
        <w:t>For each</w:t>
      </w:r>
      <w:r>
        <w:rPr>
          <w:rFonts w:ascii="Arial" w:hAnsi="Arial" w:cs="Arial"/>
          <w:bCs/>
          <w:sz w:val="20"/>
          <w:szCs w:val="20"/>
        </w:rPr>
        <w:t xml:space="preserve"> t</w:t>
      </w:r>
      <w:r w:rsidRPr="00EF742C">
        <w:rPr>
          <w:rFonts w:ascii="Arial" w:hAnsi="Arial" w:cs="Arial"/>
          <w:bCs/>
          <w:sz w:val="20"/>
          <w:szCs w:val="20"/>
        </w:rPr>
        <w:t>ime</w:t>
      </w:r>
      <w:r>
        <w:rPr>
          <w:rFonts w:ascii="Arial" w:hAnsi="Arial" w:cs="Arial"/>
          <w:bCs/>
          <w:sz w:val="20"/>
          <w:szCs w:val="20"/>
        </w:rPr>
        <w:t>-</w:t>
      </w:r>
      <w:r w:rsidRPr="00EF742C">
        <w:rPr>
          <w:rFonts w:ascii="Arial" w:hAnsi="Arial" w:cs="Arial"/>
          <w:bCs/>
          <w:sz w:val="20"/>
          <w:szCs w:val="20"/>
        </w:rPr>
        <w:t>period,</w:t>
      </w:r>
      <w:r w:rsidRPr="00915051">
        <w:t xml:space="preserve"> </w:t>
      </w:r>
      <w:r w:rsidRPr="00915051">
        <w:rPr>
          <w:rFonts w:ascii="Arial" w:hAnsi="Arial" w:cs="Arial"/>
          <w:bCs/>
          <w:sz w:val="20"/>
          <w:szCs w:val="20"/>
        </w:rPr>
        <w:t>the first two years</w:t>
      </w:r>
      <w:r w:rsidRPr="00EF742C">
        <w:rPr>
          <w:rFonts w:ascii="Arial" w:hAnsi="Arial" w:cs="Arial"/>
          <w:bCs/>
          <w:sz w:val="20"/>
          <w:szCs w:val="20"/>
        </w:rPr>
        <w:t xml:space="preserve"> </w:t>
      </w:r>
      <w:r>
        <w:rPr>
          <w:rFonts w:ascii="Arial" w:hAnsi="Arial" w:cs="Arial"/>
          <w:bCs/>
          <w:sz w:val="20"/>
          <w:szCs w:val="20"/>
        </w:rPr>
        <w:t xml:space="preserve">are used as </w:t>
      </w:r>
      <w:r w:rsidRPr="00EF742C">
        <w:rPr>
          <w:rFonts w:ascii="Arial" w:hAnsi="Arial" w:cs="Arial"/>
          <w:bCs/>
          <w:sz w:val="20"/>
          <w:szCs w:val="20"/>
        </w:rPr>
        <w:t>the “recruitment-period”</w:t>
      </w:r>
      <w:r>
        <w:rPr>
          <w:rFonts w:ascii="Arial" w:hAnsi="Arial" w:cs="Arial"/>
          <w:bCs/>
          <w:sz w:val="20"/>
          <w:szCs w:val="20"/>
        </w:rPr>
        <w:t xml:space="preserve">, </w:t>
      </w:r>
      <w:r w:rsidRPr="00EF742C">
        <w:rPr>
          <w:rFonts w:ascii="Arial" w:hAnsi="Arial" w:cs="Arial"/>
          <w:bCs/>
          <w:sz w:val="20"/>
          <w:szCs w:val="20"/>
        </w:rPr>
        <w:t xml:space="preserve">defined as the period </w:t>
      </w:r>
      <w:r>
        <w:rPr>
          <w:rFonts w:ascii="Arial" w:hAnsi="Arial" w:cs="Arial"/>
          <w:bCs/>
          <w:sz w:val="20"/>
          <w:szCs w:val="20"/>
        </w:rPr>
        <w:t>during</w:t>
      </w:r>
      <w:r w:rsidRPr="00EF742C">
        <w:rPr>
          <w:rFonts w:ascii="Arial" w:hAnsi="Arial" w:cs="Arial"/>
          <w:bCs/>
          <w:sz w:val="20"/>
          <w:szCs w:val="20"/>
        </w:rPr>
        <w:t xml:space="preserve"> which individuals are considered for inclusion in the </w:t>
      </w:r>
      <w:r>
        <w:rPr>
          <w:rFonts w:ascii="Arial" w:hAnsi="Arial" w:cs="Arial"/>
          <w:bCs/>
          <w:sz w:val="20"/>
          <w:szCs w:val="20"/>
        </w:rPr>
        <w:t xml:space="preserve">emulated trial. </w:t>
      </w:r>
      <w:r w:rsidRPr="00EF742C">
        <w:rPr>
          <w:rFonts w:ascii="Arial" w:hAnsi="Arial" w:cs="Arial"/>
          <w:bCs/>
          <w:sz w:val="20"/>
          <w:szCs w:val="20"/>
        </w:rPr>
        <w:t>Individuals are included</w:t>
      </w:r>
      <w:r>
        <w:rPr>
          <w:rFonts w:ascii="Arial" w:hAnsi="Arial" w:cs="Arial"/>
          <w:bCs/>
          <w:sz w:val="20"/>
          <w:szCs w:val="20"/>
        </w:rPr>
        <w:t xml:space="preserve"> in the emulated trial data</w:t>
      </w:r>
      <w:r w:rsidRPr="00EF742C">
        <w:rPr>
          <w:rFonts w:ascii="Arial" w:hAnsi="Arial" w:cs="Arial"/>
          <w:bCs/>
          <w:sz w:val="20"/>
          <w:szCs w:val="20"/>
        </w:rPr>
        <w:t xml:space="preserve"> if they meet the inclusion and exclusion criteria in at least one of their </w:t>
      </w:r>
      <w:r>
        <w:rPr>
          <w:rFonts w:ascii="Arial" w:hAnsi="Arial" w:cs="Arial"/>
          <w:bCs/>
          <w:sz w:val="20"/>
          <w:szCs w:val="20"/>
        </w:rPr>
        <w:t>visits</w:t>
      </w:r>
      <w:r w:rsidRPr="00EF742C">
        <w:rPr>
          <w:rFonts w:ascii="Arial" w:hAnsi="Arial" w:cs="Arial"/>
          <w:bCs/>
          <w:sz w:val="20"/>
          <w:szCs w:val="20"/>
        </w:rPr>
        <w:t xml:space="preserve"> during the recruitment-period.</w:t>
      </w:r>
      <w:r w:rsidR="00715F29">
        <w:rPr>
          <w:rFonts w:ascii="Arial" w:hAnsi="Arial" w:cs="Arial"/>
          <w:bCs/>
          <w:sz w:val="20"/>
          <w:szCs w:val="20"/>
        </w:rPr>
        <w:t xml:space="preserve"> Details on eligibility criteria are provided in Tables </w:t>
      </w:r>
      <w:r w:rsidR="00735A03">
        <w:rPr>
          <w:rFonts w:ascii="Arial" w:hAnsi="Arial" w:cs="Arial"/>
          <w:bCs/>
          <w:sz w:val="20"/>
          <w:szCs w:val="20"/>
        </w:rPr>
        <w:t>3,5,7 and 9</w:t>
      </w:r>
      <w:r w:rsidR="00715F29">
        <w:rPr>
          <w:rFonts w:ascii="Arial" w:hAnsi="Arial" w:cs="Arial"/>
          <w:bCs/>
          <w:sz w:val="20"/>
          <w:szCs w:val="20"/>
        </w:rPr>
        <w:t>.</w:t>
      </w:r>
    </w:p>
    <w:p w14:paraId="591B1B21" w14:textId="390495F5" w:rsidR="00670DB6" w:rsidRDefault="00670DB6" w:rsidP="001A3E2E">
      <w:pPr>
        <w:pStyle w:val="Heading3"/>
        <w:numPr>
          <w:ilvl w:val="2"/>
          <w:numId w:val="19"/>
        </w:numPr>
      </w:pPr>
      <w:r>
        <w:t>Definition of time</w:t>
      </w:r>
      <w:r w:rsidR="005074E1">
        <w:t xml:space="preserve"> zero</w:t>
      </w:r>
      <w:r>
        <w:t xml:space="preserve"> </w:t>
      </w:r>
      <w:r w:rsidR="005074E1">
        <w:t>(</w:t>
      </w:r>
      <w:r>
        <w:t>0</w:t>
      </w:r>
      <w:r w:rsidR="005074E1">
        <w:t>)</w:t>
      </w:r>
      <w:r>
        <w:t xml:space="preserve"> and the index visit</w:t>
      </w:r>
    </w:p>
    <w:p w14:paraId="5487DC7F" w14:textId="0666B50A" w:rsidR="00AB76F5" w:rsidRDefault="00603130" w:rsidP="00875766">
      <w:pPr>
        <w:rPr>
          <w:rFonts w:ascii="Arial" w:hAnsi="Arial" w:cs="Arial"/>
          <w:sz w:val="20"/>
          <w:szCs w:val="20"/>
        </w:rPr>
      </w:pPr>
      <w:r>
        <w:rPr>
          <w:rFonts w:ascii="Arial" w:hAnsi="Arial" w:cs="Arial"/>
          <w:sz w:val="20"/>
          <w:szCs w:val="20"/>
        </w:rPr>
        <w:t xml:space="preserve">A key consideration </w:t>
      </w:r>
      <w:r w:rsidR="00AD4571">
        <w:rPr>
          <w:rFonts w:ascii="Arial" w:hAnsi="Arial" w:cs="Arial"/>
          <w:sz w:val="20"/>
          <w:szCs w:val="20"/>
        </w:rPr>
        <w:t>is how to define the time of treatment initiation in the emulated trial</w:t>
      </w:r>
      <w:r w:rsidR="009400DE">
        <w:rPr>
          <w:rFonts w:ascii="Arial" w:hAnsi="Arial" w:cs="Arial"/>
          <w:sz w:val="20"/>
          <w:szCs w:val="20"/>
        </w:rPr>
        <w:t xml:space="preserve"> – we refer to this as time zero (0), and it is analogous to the time of randomisation in a randomised trial.</w:t>
      </w:r>
      <w:r w:rsidR="007A02C7">
        <w:rPr>
          <w:rFonts w:ascii="Arial" w:hAnsi="Arial" w:cs="Arial"/>
          <w:sz w:val="20"/>
          <w:szCs w:val="20"/>
        </w:rPr>
        <w:t xml:space="preserve"> </w:t>
      </w:r>
      <w:r w:rsidR="00637039">
        <w:rPr>
          <w:rFonts w:ascii="Arial" w:hAnsi="Arial" w:cs="Arial"/>
          <w:sz w:val="20"/>
          <w:szCs w:val="20"/>
        </w:rPr>
        <w:t>Time</w:t>
      </w:r>
      <w:r w:rsidR="00203B4F">
        <w:rPr>
          <w:rFonts w:ascii="Arial" w:hAnsi="Arial" w:cs="Arial"/>
          <w:sz w:val="20"/>
          <w:szCs w:val="20"/>
        </w:rPr>
        <w:t xml:space="preserve"> is denoted using</w:t>
      </w:r>
      <w:r w:rsidR="00637039">
        <w:rPr>
          <w:rFonts w:ascii="Arial" w:hAnsi="Arial" w:cs="Arial"/>
          <w:sz w:val="20"/>
          <w:szCs w:val="20"/>
        </w:rPr>
        <w:t xml:space="preserve"> </w:t>
      </w:r>
      <m:oMath>
        <m:r>
          <w:rPr>
            <w:rFonts w:ascii="Cambria Math" w:hAnsi="Cambria Math" w:cs="Arial"/>
            <w:sz w:val="20"/>
            <w:szCs w:val="20"/>
          </w:rPr>
          <m:t>t</m:t>
        </m:r>
      </m:oMath>
      <w:r w:rsidR="00637039">
        <w:rPr>
          <w:rFonts w:ascii="Arial" w:eastAsiaTheme="minorEastAsia" w:hAnsi="Arial" w:cs="Arial"/>
          <w:sz w:val="20"/>
          <w:szCs w:val="20"/>
        </w:rPr>
        <w:t xml:space="preserve"> </w:t>
      </w:r>
      <w:r w:rsidR="00203B4F">
        <w:rPr>
          <w:rFonts w:ascii="Arial" w:eastAsiaTheme="minorEastAsia" w:hAnsi="Arial" w:cs="Arial"/>
          <w:sz w:val="20"/>
          <w:szCs w:val="20"/>
        </w:rPr>
        <w:t xml:space="preserve">and is measured in </w:t>
      </w:r>
      <w:r w:rsidR="00210786">
        <w:rPr>
          <w:rFonts w:ascii="Arial" w:eastAsiaTheme="minorEastAsia" w:hAnsi="Arial" w:cs="Arial"/>
          <w:sz w:val="20"/>
          <w:szCs w:val="20"/>
        </w:rPr>
        <w:t>weeks</w:t>
      </w:r>
      <w:r w:rsidR="00203B4F">
        <w:rPr>
          <w:rFonts w:ascii="Arial" w:eastAsiaTheme="minorEastAsia" w:hAnsi="Arial" w:cs="Arial"/>
          <w:sz w:val="20"/>
          <w:szCs w:val="20"/>
        </w:rPr>
        <w:t xml:space="preserve"> after time 0</w:t>
      </w:r>
      <w:r w:rsidR="00BF690D">
        <w:rPr>
          <w:rFonts w:ascii="Arial" w:eastAsiaTheme="minorEastAsia" w:hAnsi="Arial" w:cs="Arial"/>
          <w:sz w:val="20"/>
          <w:szCs w:val="20"/>
        </w:rPr>
        <w:t xml:space="preserve">. </w:t>
      </w:r>
      <w:r w:rsidR="007A02C7">
        <w:rPr>
          <w:rFonts w:ascii="Arial" w:hAnsi="Arial" w:cs="Arial"/>
          <w:sz w:val="20"/>
          <w:szCs w:val="20"/>
        </w:rPr>
        <w:t>Previous trial emulations</w:t>
      </w:r>
      <w:r w:rsidR="00203B4F">
        <w:rPr>
          <w:rFonts w:ascii="Arial" w:hAnsi="Arial" w:cs="Arial"/>
          <w:sz w:val="20"/>
          <w:szCs w:val="20"/>
        </w:rPr>
        <w:t xml:space="preserve"> [1</w:t>
      </w:r>
      <w:r w:rsidR="0041372B">
        <w:rPr>
          <w:rFonts w:ascii="Arial" w:hAnsi="Arial" w:cs="Arial"/>
          <w:sz w:val="20"/>
          <w:szCs w:val="20"/>
        </w:rPr>
        <w:t>3-15</w:t>
      </w:r>
      <w:r w:rsidR="00203B4F">
        <w:rPr>
          <w:rFonts w:ascii="Arial" w:hAnsi="Arial" w:cs="Arial"/>
          <w:sz w:val="20"/>
          <w:szCs w:val="20"/>
        </w:rPr>
        <w:t>]</w:t>
      </w:r>
      <w:r w:rsidR="007A02C7">
        <w:rPr>
          <w:rFonts w:ascii="Arial" w:hAnsi="Arial" w:cs="Arial"/>
          <w:sz w:val="20"/>
          <w:szCs w:val="20"/>
        </w:rPr>
        <w:t xml:space="preserve"> using these data have defined time 0 as the date of the annual review for which individuals meet the eligibility criteria</w:t>
      </w:r>
      <w:r w:rsidR="005B08A6">
        <w:rPr>
          <w:rFonts w:ascii="Arial" w:hAnsi="Arial" w:cs="Arial"/>
          <w:sz w:val="20"/>
          <w:szCs w:val="20"/>
        </w:rPr>
        <w:t xml:space="preserve">. However, this does not necessarily align with the true date of </w:t>
      </w:r>
      <w:r w:rsidR="00C5435D">
        <w:rPr>
          <w:rFonts w:ascii="Arial" w:hAnsi="Arial" w:cs="Arial"/>
          <w:sz w:val="20"/>
          <w:szCs w:val="20"/>
        </w:rPr>
        <w:t xml:space="preserve">treatment </w:t>
      </w:r>
      <w:r w:rsidR="005B08A6">
        <w:rPr>
          <w:rFonts w:ascii="Arial" w:hAnsi="Arial" w:cs="Arial"/>
          <w:sz w:val="20"/>
          <w:szCs w:val="20"/>
        </w:rPr>
        <w:t>initiation</w:t>
      </w:r>
      <w:r w:rsidR="005854A4">
        <w:rPr>
          <w:rFonts w:ascii="Arial" w:hAnsi="Arial" w:cs="Arial"/>
          <w:sz w:val="20"/>
          <w:szCs w:val="20"/>
        </w:rPr>
        <w:t>.</w:t>
      </w:r>
      <w:r w:rsidR="009C1899">
        <w:rPr>
          <w:rFonts w:ascii="Arial" w:hAnsi="Arial" w:cs="Arial"/>
          <w:sz w:val="20"/>
          <w:szCs w:val="20"/>
        </w:rPr>
        <w:t xml:space="preserve"> </w:t>
      </w:r>
      <w:r w:rsidR="00D43E28">
        <w:rPr>
          <w:rFonts w:ascii="Arial" w:hAnsi="Arial" w:cs="Arial"/>
          <w:sz w:val="20"/>
          <w:szCs w:val="20"/>
        </w:rPr>
        <w:t xml:space="preserve">In the UK CF Registry, </w:t>
      </w:r>
      <w:r w:rsidR="009C1899">
        <w:rPr>
          <w:rFonts w:ascii="Arial" w:hAnsi="Arial" w:cs="Arial"/>
          <w:sz w:val="20"/>
          <w:szCs w:val="20"/>
        </w:rPr>
        <w:t>treatment use is recorded as a yes/no indicator indicating whether treatment has been prescribed any time over the past year</w:t>
      </w:r>
      <w:r w:rsidR="00EE1F98">
        <w:rPr>
          <w:rFonts w:ascii="Arial" w:hAnsi="Arial" w:cs="Arial"/>
          <w:sz w:val="20"/>
          <w:szCs w:val="20"/>
        </w:rPr>
        <w:t>.</w:t>
      </w:r>
      <w:r w:rsidR="00F52AD6">
        <w:rPr>
          <w:rFonts w:ascii="Arial" w:hAnsi="Arial" w:cs="Arial"/>
          <w:sz w:val="20"/>
          <w:szCs w:val="20"/>
        </w:rPr>
        <w:t xml:space="preserve"> </w:t>
      </w:r>
      <w:r w:rsidR="00B42949">
        <w:rPr>
          <w:rFonts w:ascii="Arial" w:hAnsi="Arial" w:cs="Arial"/>
          <w:sz w:val="20"/>
          <w:szCs w:val="20"/>
        </w:rPr>
        <w:t>Therefore, we extract information on treatment use from the annual review subsequent to the review at which eligibility criteria were met.</w:t>
      </w:r>
      <w:r w:rsidR="00AB76F5">
        <w:rPr>
          <w:rFonts w:ascii="Arial" w:hAnsi="Arial" w:cs="Arial"/>
          <w:sz w:val="20"/>
          <w:szCs w:val="20"/>
        </w:rPr>
        <w:t xml:space="preserve"> Defining time 0 as the date of the annual review for which individuals meet the eligibility criteria assumes that </w:t>
      </w:r>
      <w:r w:rsidR="00D6569C">
        <w:rPr>
          <w:rFonts w:ascii="Arial" w:hAnsi="Arial" w:cs="Arial"/>
          <w:sz w:val="20"/>
          <w:szCs w:val="20"/>
        </w:rPr>
        <w:t>individuals</w:t>
      </w:r>
      <w:r w:rsidR="003C78EE">
        <w:rPr>
          <w:rFonts w:ascii="Arial" w:hAnsi="Arial" w:cs="Arial"/>
          <w:sz w:val="20"/>
          <w:szCs w:val="20"/>
        </w:rPr>
        <w:t xml:space="preserve"> </w:t>
      </w:r>
      <w:r w:rsidR="00D6569C">
        <w:rPr>
          <w:rFonts w:ascii="Arial" w:hAnsi="Arial" w:cs="Arial"/>
          <w:sz w:val="20"/>
          <w:szCs w:val="20"/>
        </w:rPr>
        <w:t>initiated</w:t>
      </w:r>
      <w:r w:rsidR="00821022">
        <w:rPr>
          <w:rFonts w:ascii="Arial" w:hAnsi="Arial" w:cs="Arial"/>
          <w:sz w:val="20"/>
          <w:szCs w:val="20"/>
        </w:rPr>
        <w:t xml:space="preserve"> treatment </w:t>
      </w:r>
      <w:r w:rsidR="005B2C7B">
        <w:rPr>
          <w:rFonts w:ascii="Arial" w:hAnsi="Arial" w:cs="Arial"/>
          <w:sz w:val="20"/>
          <w:szCs w:val="20"/>
        </w:rPr>
        <w:t>on the date</w:t>
      </w:r>
      <w:r w:rsidR="006C7EE1">
        <w:rPr>
          <w:rFonts w:ascii="Arial" w:hAnsi="Arial" w:cs="Arial"/>
          <w:sz w:val="20"/>
          <w:szCs w:val="20"/>
        </w:rPr>
        <w:t xml:space="preserve"> of that review</w:t>
      </w:r>
      <w:r w:rsidR="002C13EF">
        <w:rPr>
          <w:rFonts w:ascii="Arial" w:hAnsi="Arial" w:cs="Arial"/>
          <w:sz w:val="20"/>
          <w:szCs w:val="20"/>
        </w:rPr>
        <w:t xml:space="preserve"> </w:t>
      </w:r>
      <w:r w:rsidR="006C7EE1">
        <w:rPr>
          <w:rFonts w:ascii="Arial" w:hAnsi="Arial" w:cs="Arial"/>
          <w:sz w:val="20"/>
          <w:szCs w:val="20"/>
        </w:rPr>
        <w:t>when</w:t>
      </w:r>
      <w:r w:rsidR="003C78EE">
        <w:rPr>
          <w:rFonts w:ascii="Arial" w:hAnsi="Arial" w:cs="Arial"/>
          <w:sz w:val="20"/>
          <w:szCs w:val="20"/>
        </w:rPr>
        <w:t xml:space="preserve"> </w:t>
      </w:r>
      <w:r w:rsidR="006C7EE1">
        <w:rPr>
          <w:rFonts w:ascii="Arial" w:hAnsi="Arial" w:cs="Arial"/>
          <w:sz w:val="20"/>
          <w:szCs w:val="20"/>
        </w:rPr>
        <w:t>i</w:t>
      </w:r>
      <w:r w:rsidR="002C13EF">
        <w:rPr>
          <w:rFonts w:ascii="Arial" w:hAnsi="Arial" w:cs="Arial"/>
          <w:sz w:val="20"/>
          <w:szCs w:val="20"/>
        </w:rPr>
        <w:t xml:space="preserve">n reality, they may have initiated treatment at any point </w:t>
      </w:r>
      <w:r w:rsidR="006C7EE1">
        <w:rPr>
          <w:rFonts w:ascii="Arial" w:hAnsi="Arial" w:cs="Arial"/>
          <w:sz w:val="20"/>
          <w:szCs w:val="20"/>
        </w:rPr>
        <w:t>during the following year</w:t>
      </w:r>
      <w:r w:rsidR="002C13EF">
        <w:rPr>
          <w:rFonts w:ascii="Arial" w:hAnsi="Arial" w:cs="Arial"/>
          <w:sz w:val="20"/>
          <w:szCs w:val="20"/>
        </w:rPr>
        <w:t xml:space="preserve">. This misalignment between </w:t>
      </w:r>
      <w:r w:rsidR="005854A4">
        <w:rPr>
          <w:rFonts w:ascii="Arial" w:hAnsi="Arial" w:cs="Arial"/>
          <w:sz w:val="20"/>
          <w:szCs w:val="20"/>
        </w:rPr>
        <w:t xml:space="preserve">time 0 and true treatment initiation may result in time-related biases. </w:t>
      </w:r>
    </w:p>
    <w:p w14:paraId="58145ABB" w14:textId="094C8DD6" w:rsidR="007941D4" w:rsidRDefault="005B2C7B" w:rsidP="00875766">
      <w:pPr>
        <w:rPr>
          <w:rFonts w:ascii="Arial" w:hAnsi="Arial" w:cs="Arial"/>
          <w:sz w:val="20"/>
          <w:szCs w:val="20"/>
        </w:rPr>
      </w:pPr>
      <w:r>
        <w:rPr>
          <w:rFonts w:ascii="Arial" w:hAnsi="Arial" w:cs="Arial"/>
          <w:sz w:val="20"/>
          <w:szCs w:val="20"/>
        </w:rPr>
        <w:t>I</w:t>
      </w:r>
      <w:r w:rsidR="009C1899">
        <w:rPr>
          <w:rFonts w:ascii="Arial" w:hAnsi="Arial" w:cs="Arial"/>
          <w:sz w:val="20"/>
          <w:szCs w:val="20"/>
        </w:rPr>
        <w:t>n 2016,</w:t>
      </w:r>
      <w:r w:rsidR="00EE1F98">
        <w:rPr>
          <w:rFonts w:ascii="Arial" w:hAnsi="Arial" w:cs="Arial"/>
          <w:sz w:val="20"/>
          <w:szCs w:val="20"/>
        </w:rPr>
        <w:t xml:space="preserve"> treatment prescription dates were </w:t>
      </w:r>
      <w:r w:rsidR="005501A3">
        <w:rPr>
          <w:rFonts w:ascii="Arial" w:hAnsi="Arial" w:cs="Arial"/>
          <w:sz w:val="20"/>
          <w:szCs w:val="20"/>
        </w:rPr>
        <w:t>first captured in the registry</w:t>
      </w:r>
      <w:r>
        <w:rPr>
          <w:rFonts w:ascii="Arial" w:hAnsi="Arial" w:cs="Arial"/>
          <w:sz w:val="20"/>
          <w:szCs w:val="20"/>
        </w:rPr>
        <w:t xml:space="preserve"> </w:t>
      </w:r>
      <w:r w:rsidR="002253CE">
        <w:rPr>
          <w:rFonts w:ascii="Arial" w:hAnsi="Arial" w:cs="Arial"/>
          <w:sz w:val="20"/>
          <w:szCs w:val="20"/>
        </w:rPr>
        <w:t>and these data can be used to more accurately define time 0.</w:t>
      </w:r>
      <w:r w:rsidR="00EE1F98">
        <w:rPr>
          <w:rFonts w:ascii="Arial" w:hAnsi="Arial" w:cs="Arial"/>
          <w:sz w:val="20"/>
          <w:szCs w:val="20"/>
        </w:rPr>
        <w:t xml:space="preserve"> </w:t>
      </w:r>
      <w:r w:rsidR="003A0810">
        <w:rPr>
          <w:rFonts w:ascii="Arial" w:hAnsi="Arial" w:cs="Arial"/>
          <w:sz w:val="20"/>
          <w:szCs w:val="20"/>
        </w:rPr>
        <w:t>We describe two different approaches to the definition of time 0</w:t>
      </w:r>
      <w:r w:rsidR="002253CE">
        <w:rPr>
          <w:rFonts w:ascii="Arial" w:hAnsi="Arial" w:cs="Arial"/>
          <w:sz w:val="20"/>
          <w:szCs w:val="20"/>
        </w:rPr>
        <w:t>:</w:t>
      </w:r>
      <w:r w:rsidR="003A0810">
        <w:rPr>
          <w:rFonts w:ascii="Arial" w:hAnsi="Arial" w:cs="Arial"/>
          <w:sz w:val="20"/>
          <w:szCs w:val="20"/>
        </w:rPr>
        <w:t xml:space="preserve"> </w:t>
      </w:r>
      <w:r w:rsidR="006D23A8">
        <w:rPr>
          <w:rFonts w:ascii="Arial" w:hAnsi="Arial" w:cs="Arial"/>
          <w:sz w:val="20"/>
          <w:szCs w:val="20"/>
        </w:rPr>
        <w:t xml:space="preserve">(1) using annual review data only and (2) using prescription dates data. </w:t>
      </w:r>
      <w:r w:rsidR="00BF690D">
        <w:rPr>
          <w:rFonts w:ascii="Arial" w:hAnsi="Arial" w:cs="Arial"/>
          <w:sz w:val="20"/>
          <w:szCs w:val="20"/>
        </w:rPr>
        <w:t xml:space="preserve">Figure </w:t>
      </w:r>
      <w:r>
        <w:rPr>
          <w:rFonts w:ascii="Arial" w:hAnsi="Arial" w:cs="Arial"/>
          <w:sz w:val="20"/>
          <w:szCs w:val="20"/>
        </w:rPr>
        <w:t>2</w:t>
      </w:r>
      <w:r w:rsidR="00BF690D">
        <w:rPr>
          <w:rFonts w:ascii="Arial" w:hAnsi="Arial" w:cs="Arial"/>
          <w:sz w:val="20"/>
          <w:szCs w:val="20"/>
        </w:rPr>
        <w:t xml:space="preserve"> summarises the differences between the two definitions. </w:t>
      </w:r>
      <w:r w:rsidR="007941D4">
        <w:rPr>
          <w:rFonts w:ascii="Arial" w:hAnsi="Arial" w:cs="Arial"/>
          <w:sz w:val="20"/>
          <w:szCs w:val="20"/>
        </w:rPr>
        <w:t xml:space="preserve">Approach (1) will be used to define time 0 in trial emulations using data pre-2016. Both approaches will be used, and compared, </w:t>
      </w:r>
      <w:r w:rsidR="000B14CC">
        <w:rPr>
          <w:rFonts w:ascii="Arial" w:hAnsi="Arial" w:cs="Arial"/>
          <w:sz w:val="20"/>
          <w:szCs w:val="20"/>
        </w:rPr>
        <w:t xml:space="preserve">in trial emulations using data post-2016. </w:t>
      </w:r>
    </w:p>
    <w:p w14:paraId="60A564D2" w14:textId="6ED30462" w:rsidR="00483B5F" w:rsidRDefault="00483B5F" w:rsidP="00875766">
      <w:pPr>
        <w:rPr>
          <w:rFonts w:ascii="Arial" w:hAnsi="Arial" w:cs="Arial"/>
          <w:sz w:val="20"/>
          <w:szCs w:val="20"/>
        </w:rPr>
      </w:pPr>
      <w:r>
        <w:rPr>
          <w:rFonts w:ascii="Arial" w:hAnsi="Arial" w:cs="Arial"/>
          <w:sz w:val="20"/>
          <w:szCs w:val="20"/>
        </w:rPr>
        <w:t xml:space="preserve">When defining treatment groups, the “treatment strategy” will refer to the active treatment under study in the trial. The “control strategy” will refer to the comparator treatment strategy. Note that the control strategies include emulations of treatment strategies from placebo-controlled trials and active comparator trials. </w:t>
      </w:r>
      <w:r w:rsidR="00264FC3">
        <w:rPr>
          <w:rFonts w:ascii="Arial" w:hAnsi="Arial" w:cs="Arial"/>
          <w:sz w:val="20"/>
          <w:szCs w:val="20"/>
        </w:rPr>
        <w:t xml:space="preserve">Individuals whose data are not consistent with either the treatment or control strategy will not be included in the emulated trial. </w:t>
      </w:r>
      <w:r>
        <w:rPr>
          <w:rFonts w:ascii="Arial" w:hAnsi="Arial" w:cs="Arial"/>
          <w:sz w:val="20"/>
          <w:szCs w:val="20"/>
        </w:rPr>
        <w:t xml:space="preserve">The strategies are defined in </w:t>
      </w:r>
      <w:r w:rsidR="00735A03">
        <w:rPr>
          <w:rFonts w:ascii="Arial" w:hAnsi="Arial" w:cs="Arial"/>
          <w:sz w:val="20"/>
          <w:szCs w:val="20"/>
        </w:rPr>
        <w:t xml:space="preserve">sections 4.2.2, 4.3.2, 4.4.2 and 4.5.2. </w:t>
      </w:r>
      <w:r>
        <w:rPr>
          <w:rFonts w:ascii="Arial" w:hAnsi="Arial" w:cs="Arial"/>
          <w:sz w:val="20"/>
          <w:szCs w:val="20"/>
        </w:rPr>
        <w:t xml:space="preserve"> </w:t>
      </w:r>
    </w:p>
    <w:p w14:paraId="0CC8F40C" w14:textId="787BE949" w:rsidR="00875766" w:rsidRPr="001561C6" w:rsidRDefault="001561C6" w:rsidP="001561C6">
      <w:pPr>
        <w:rPr>
          <w:rFonts w:ascii="Arial" w:hAnsi="Arial" w:cs="Arial"/>
          <w:bCs/>
          <w:i/>
          <w:iCs/>
          <w:sz w:val="20"/>
          <w:szCs w:val="20"/>
        </w:rPr>
      </w:pPr>
      <w:r>
        <w:rPr>
          <w:rFonts w:ascii="Arial" w:hAnsi="Arial" w:cs="Arial"/>
          <w:bCs/>
          <w:i/>
          <w:iCs/>
          <w:sz w:val="20"/>
          <w:szCs w:val="20"/>
        </w:rPr>
        <w:t xml:space="preserve">Approach 1: </w:t>
      </w:r>
      <w:r w:rsidR="00875766" w:rsidRPr="001561C6">
        <w:rPr>
          <w:rFonts w:ascii="Arial" w:hAnsi="Arial" w:cs="Arial"/>
          <w:bCs/>
          <w:i/>
          <w:iCs/>
          <w:sz w:val="20"/>
          <w:szCs w:val="20"/>
        </w:rPr>
        <w:t xml:space="preserve">Using annual review data only </w:t>
      </w:r>
    </w:p>
    <w:p w14:paraId="408840DF" w14:textId="008C397C" w:rsidR="00BB5164" w:rsidRDefault="00875766" w:rsidP="00875766">
      <w:pPr>
        <w:rPr>
          <w:rFonts w:ascii="Arial" w:hAnsi="Arial" w:cs="Arial"/>
          <w:bCs/>
          <w:sz w:val="20"/>
          <w:szCs w:val="20"/>
        </w:rPr>
      </w:pPr>
      <w:r w:rsidRPr="00AA62F7">
        <w:rPr>
          <w:rFonts w:ascii="Arial" w:hAnsi="Arial" w:cs="Arial"/>
          <w:bCs/>
          <w:sz w:val="20"/>
          <w:szCs w:val="20"/>
        </w:rPr>
        <w:t xml:space="preserve">Within </w:t>
      </w:r>
      <w:r w:rsidR="007B3149">
        <w:rPr>
          <w:rFonts w:ascii="Arial" w:hAnsi="Arial" w:cs="Arial"/>
          <w:bCs/>
          <w:sz w:val="20"/>
          <w:szCs w:val="20"/>
        </w:rPr>
        <w:t>each time-</w:t>
      </w:r>
      <w:r w:rsidRPr="00AA62F7">
        <w:rPr>
          <w:rFonts w:ascii="Arial" w:hAnsi="Arial" w:cs="Arial"/>
          <w:bCs/>
          <w:sz w:val="20"/>
          <w:szCs w:val="20"/>
        </w:rPr>
        <w:t>period</w:t>
      </w:r>
      <w:r w:rsidRPr="00AA62F7">
        <w:rPr>
          <w:rFonts w:ascii="Arial" w:eastAsiaTheme="minorEastAsia" w:hAnsi="Arial" w:cs="Arial"/>
          <w:bCs/>
          <w:sz w:val="20"/>
          <w:szCs w:val="20"/>
        </w:rPr>
        <w:t xml:space="preserve">, </w:t>
      </w:r>
      <w:r w:rsidRPr="00AA62F7">
        <w:rPr>
          <w:rFonts w:ascii="Arial" w:hAnsi="Arial" w:cs="Arial"/>
          <w:bCs/>
          <w:sz w:val="20"/>
          <w:szCs w:val="20"/>
        </w:rPr>
        <w:t>the index visit for a given individual is the first annual review visit at which they meet the eligibility criteria in the 2-year recruitment period. The follow-up</w:t>
      </w:r>
      <w:r w:rsidR="00BB5164">
        <w:rPr>
          <w:rFonts w:ascii="Arial" w:hAnsi="Arial" w:cs="Arial"/>
          <w:bCs/>
          <w:sz w:val="20"/>
          <w:szCs w:val="20"/>
        </w:rPr>
        <w:t xml:space="preserve"> </w:t>
      </w:r>
      <w:r w:rsidRPr="00AA62F7">
        <w:rPr>
          <w:rFonts w:ascii="Arial" w:hAnsi="Arial" w:cs="Arial"/>
          <w:bCs/>
          <w:sz w:val="20"/>
          <w:szCs w:val="20"/>
        </w:rPr>
        <w:t xml:space="preserve">visit is </w:t>
      </w:r>
      <w:r w:rsidR="00344823">
        <w:rPr>
          <w:rFonts w:ascii="Arial" w:hAnsi="Arial" w:cs="Arial"/>
          <w:bCs/>
          <w:sz w:val="20"/>
          <w:szCs w:val="20"/>
        </w:rPr>
        <w:t xml:space="preserve">the next visit </w:t>
      </w:r>
      <w:r w:rsidR="00344823">
        <w:rPr>
          <w:rFonts w:ascii="Arial" w:hAnsi="Arial" w:cs="Arial"/>
          <w:bCs/>
          <w:sz w:val="20"/>
          <w:szCs w:val="20"/>
        </w:rPr>
        <w:lastRenderedPageBreak/>
        <w:t xml:space="preserve">after </w:t>
      </w:r>
      <w:r w:rsidR="002070B8">
        <w:rPr>
          <w:rFonts w:ascii="Arial" w:hAnsi="Arial" w:cs="Arial"/>
          <w:bCs/>
          <w:sz w:val="20"/>
          <w:szCs w:val="20"/>
        </w:rPr>
        <w:t xml:space="preserve">time </w:t>
      </w:r>
      <w:r w:rsidR="009F6B9E">
        <w:rPr>
          <w:rFonts w:ascii="Arial" w:hAnsi="Arial" w:cs="Arial"/>
          <w:bCs/>
          <w:sz w:val="20"/>
          <w:szCs w:val="20"/>
        </w:rPr>
        <w:t>0</w:t>
      </w:r>
      <w:r w:rsidR="00344823">
        <w:rPr>
          <w:rFonts w:ascii="Arial" w:hAnsi="Arial" w:cs="Arial"/>
          <w:bCs/>
          <w:sz w:val="20"/>
          <w:szCs w:val="20"/>
        </w:rPr>
        <w:t xml:space="preserve">, </w:t>
      </w:r>
      <w:r w:rsidR="002070B8">
        <w:rPr>
          <w:rFonts w:ascii="Arial" w:hAnsi="Arial" w:cs="Arial"/>
          <w:bCs/>
          <w:sz w:val="20"/>
          <w:szCs w:val="20"/>
        </w:rPr>
        <w:t xml:space="preserve">where the date of that visit falls within </w:t>
      </w:r>
      <w:r w:rsidR="00210786">
        <w:rPr>
          <w:rFonts w:ascii="Arial" w:hAnsi="Arial" w:cs="Arial"/>
          <w:bCs/>
          <w:sz w:val="20"/>
          <w:szCs w:val="20"/>
        </w:rPr>
        <w:t>72 weeks</w:t>
      </w:r>
      <w:r w:rsidR="00A60FFE">
        <w:rPr>
          <w:rFonts w:ascii="Arial" w:hAnsi="Arial" w:cs="Arial"/>
          <w:bCs/>
          <w:sz w:val="20"/>
          <w:szCs w:val="20"/>
        </w:rPr>
        <w:t xml:space="preserve"> after time 0</w:t>
      </w:r>
      <w:r w:rsidRPr="00AA62F7">
        <w:rPr>
          <w:rFonts w:ascii="Arial" w:hAnsi="Arial" w:cs="Arial"/>
          <w:bCs/>
          <w:sz w:val="20"/>
          <w:szCs w:val="20"/>
        </w:rPr>
        <w:t>.</w:t>
      </w:r>
      <w:r w:rsidR="00210786">
        <w:rPr>
          <w:rFonts w:ascii="Arial" w:hAnsi="Arial" w:cs="Arial"/>
          <w:bCs/>
          <w:sz w:val="20"/>
          <w:szCs w:val="20"/>
        </w:rPr>
        <w:t xml:space="preserve"> On average, we expect follow-up visits to be approximately 1 year after the index visit. We extend our follow-up time to 72 weeks to include data from individuals who have longer periods of time between clinical review visits. </w:t>
      </w:r>
      <w:r w:rsidR="00483B5F">
        <w:rPr>
          <w:rFonts w:ascii="Arial" w:hAnsi="Arial" w:cs="Arial"/>
          <w:bCs/>
          <w:sz w:val="20"/>
          <w:szCs w:val="20"/>
        </w:rPr>
        <w:t xml:space="preserve"> </w:t>
      </w:r>
      <w:r w:rsidRPr="00AA62F7">
        <w:rPr>
          <w:rFonts w:ascii="Arial" w:hAnsi="Arial" w:cs="Arial"/>
          <w:bCs/>
          <w:sz w:val="20"/>
          <w:szCs w:val="20"/>
        </w:rPr>
        <w:t>Individuals are included in the treated group if th</w:t>
      </w:r>
      <w:r w:rsidR="00BB5164">
        <w:rPr>
          <w:rFonts w:ascii="Arial" w:hAnsi="Arial" w:cs="Arial"/>
          <w:bCs/>
          <w:sz w:val="20"/>
          <w:szCs w:val="20"/>
        </w:rPr>
        <w:t xml:space="preserve">eir treatment data is consistent with the </w:t>
      </w:r>
      <w:r w:rsidR="000F4A95">
        <w:rPr>
          <w:rFonts w:ascii="Arial" w:hAnsi="Arial" w:cs="Arial"/>
          <w:bCs/>
          <w:sz w:val="20"/>
          <w:szCs w:val="20"/>
        </w:rPr>
        <w:t>treatment</w:t>
      </w:r>
      <w:r w:rsidR="00BB5164">
        <w:rPr>
          <w:rFonts w:ascii="Arial" w:hAnsi="Arial" w:cs="Arial"/>
          <w:bCs/>
          <w:sz w:val="20"/>
          <w:szCs w:val="20"/>
        </w:rPr>
        <w:t xml:space="preserve"> strategy</w:t>
      </w:r>
      <w:r w:rsidRPr="00AA62F7">
        <w:rPr>
          <w:rFonts w:ascii="Arial" w:hAnsi="Arial" w:cs="Arial"/>
          <w:bCs/>
          <w:sz w:val="20"/>
          <w:szCs w:val="20"/>
        </w:rPr>
        <w:t xml:space="preserve"> at the follow-up visit</w:t>
      </w:r>
      <w:r w:rsidR="001561C6">
        <w:rPr>
          <w:rFonts w:ascii="Arial" w:hAnsi="Arial" w:cs="Arial"/>
          <w:bCs/>
          <w:sz w:val="20"/>
          <w:szCs w:val="20"/>
        </w:rPr>
        <w:t>.</w:t>
      </w:r>
      <w:r w:rsidRPr="00AA62F7">
        <w:rPr>
          <w:rFonts w:ascii="Arial" w:hAnsi="Arial" w:cs="Arial"/>
          <w:bCs/>
          <w:sz w:val="20"/>
          <w:szCs w:val="20"/>
        </w:rPr>
        <w:t xml:space="preserve"> </w:t>
      </w:r>
      <w:r w:rsidR="00BB5164">
        <w:rPr>
          <w:rFonts w:ascii="Arial" w:hAnsi="Arial" w:cs="Arial"/>
          <w:bCs/>
          <w:sz w:val="20"/>
          <w:szCs w:val="20"/>
        </w:rPr>
        <w:t>Individuals</w:t>
      </w:r>
      <w:r w:rsidR="00002107">
        <w:rPr>
          <w:rFonts w:ascii="Arial" w:hAnsi="Arial" w:cs="Arial"/>
          <w:bCs/>
          <w:sz w:val="20"/>
          <w:szCs w:val="20"/>
        </w:rPr>
        <w:t xml:space="preserve"> whose</w:t>
      </w:r>
      <w:r w:rsidR="00BB5164">
        <w:rPr>
          <w:rFonts w:ascii="Arial" w:hAnsi="Arial" w:cs="Arial"/>
          <w:bCs/>
          <w:sz w:val="20"/>
          <w:szCs w:val="20"/>
        </w:rPr>
        <w:t xml:space="preserve"> data</w:t>
      </w:r>
      <w:r w:rsidR="00002107">
        <w:rPr>
          <w:rFonts w:ascii="Arial" w:hAnsi="Arial" w:cs="Arial"/>
          <w:bCs/>
          <w:sz w:val="20"/>
          <w:szCs w:val="20"/>
        </w:rPr>
        <w:t xml:space="preserve"> are</w:t>
      </w:r>
      <w:r w:rsidR="00BB5164">
        <w:rPr>
          <w:rFonts w:ascii="Arial" w:hAnsi="Arial" w:cs="Arial"/>
          <w:bCs/>
          <w:sz w:val="20"/>
          <w:szCs w:val="20"/>
        </w:rPr>
        <w:t xml:space="preserve"> consistent with the </w:t>
      </w:r>
      <w:r w:rsidR="00FA10D7">
        <w:rPr>
          <w:rFonts w:ascii="Arial" w:hAnsi="Arial" w:cs="Arial"/>
          <w:bCs/>
          <w:sz w:val="20"/>
          <w:szCs w:val="20"/>
        </w:rPr>
        <w:t>control</w:t>
      </w:r>
      <w:r w:rsidR="00BB5164">
        <w:rPr>
          <w:rFonts w:ascii="Arial" w:hAnsi="Arial" w:cs="Arial"/>
          <w:bCs/>
          <w:sz w:val="20"/>
          <w:szCs w:val="20"/>
        </w:rPr>
        <w:t xml:space="preserve"> strategy at the follow-up visit </w:t>
      </w:r>
      <w:r w:rsidR="00AD51BB">
        <w:rPr>
          <w:rFonts w:ascii="Arial" w:hAnsi="Arial" w:cs="Arial"/>
          <w:bCs/>
          <w:sz w:val="20"/>
          <w:szCs w:val="20"/>
        </w:rPr>
        <w:t xml:space="preserve">are included in the control group. </w:t>
      </w:r>
      <w:r w:rsidR="00002107">
        <w:rPr>
          <w:rFonts w:ascii="Arial" w:hAnsi="Arial" w:cs="Arial"/>
          <w:bCs/>
          <w:sz w:val="20"/>
          <w:szCs w:val="20"/>
        </w:rPr>
        <w:t xml:space="preserve">For both treated and control individuals, time 0 is defined as the date of the index visit. </w:t>
      </w:r>
      <w:r w:rsidR="007047CE">
        <w:rPr>
          <w:rFonts w:ascii="Arial" w:hAnsi="Arial" w:cs="Arial"/>
          <w:bCs/>
          <w:sz w:val="20"/>
          <w:szCs w:val="20"/>
        </w:rPr>
        <w:t xml:space="preserve">We use treatment information at the follow-up visit </w:t>
      </w:r>
      <w:r w:rsidR="007047CE" w:rsidRPr="00AA62F7">
        <w:rPr>
          <w:rFonts w:ascii="Arial" w:hAnsi="Arial" w:cs="Arial"/>
          <w:bCs/>
          <w:sz w:val="20"/>
          <w:szCs w:val="20"/>
        </w:rPr>
        <w:t>because the information recorded on treatment use at the annual review refers to treatment use over the past year</w:t>
      </w:r>
      <w:r w:rsidR="007047CE">
        <w:rPr>
          <w:rFonts w:ascii="Arial" w:hAnsi="Arial" w:cs="Arial"/>
          <w:bCs/>
          <w:sz w:val="20"/>
          <w:szCs w:val="20"/>
        </w:rPr>
        <w:t>.</w:t>
      </w:r>
      <w:r w:rsidR="007047CE" w:rsidRPr="00AA62F7">
        <w:rPr>
          <w:rFonts w:ascii="Arial" w:hAnsi="Arial" w:cs="Arial"/>
          <w:bCs/>
          <w:sz w:val="20"/>
          <w:szCs w:val="20"/>
        </w:rPr>
        <w:t xml:space="preserve"> </w:t>
      </w:r>
    </w:p>
    <w:p w14:paraId="0A056599" w14:textId="6D7C15BB" w:rsidR="00875766" w:rsidRPr="001561C6" w:rsidRDefault="001561C6" w:rsidP="001561C6">
      <w:pPr>
        <w:rPr>
          <w:rFonts w:ascii="Arial" w:hAnsi="Arial" w:cs="Arial"/>
          <w:bCs/>
          <w:i/>
          <w:iCs/>
          <w:sz w:val="20"/>
          <w:szCs w:val="20"/>
        </w:rPr>
      </w:pPr>
      <w:r>
        <w:rPr>
          <w:rFonts w:ascii="Arial" w:hAnsi="Arial" w:cs="Arial"/>
          <w:bCs/>
          <w:i/>
          <w:iCs/>
          <w:sz w:val="20"/>
          <w:szCs w:val="20"/>
        </w:rPr>
        <w:t xml:space="preserve">Approach 2: </w:t>
      </w:r>
      <w:r w:rsidR="00875766" w:rsidRPr="001561C6">
        <w:rPr>
          <w:rFonts w:ascii="Arial" w:hAnsi="Arial" w:cs="Arial"/>
          <w:bCs/>
          <w:i/>
          <w:iCs/>
          <w:sz w:val="20"/>
          <w:szCs w:val="20"/>
        </w:rPr>
        <w:t>Using annual review data and prescription dates data</w:t>
      </w:r>
    </w:p>
    <w:p w14:paraId="458DE75C" w14:textId="5B860399" w:rsidR="00CC6237" w:rsidRPr="00CC6237" w:rsidRDefault="007A5D83" w:rsidP="00CC6237">
      <w:pPr>
        <w:pStyle w:val="ListParagraph"/>
        <w:ind w:left="0"/>
        <w:rPr>
          <w:rFonts w:ascii="Arial" w:hAnsi="Arial" w:cs="Arial"/>
          <w:bCs/>
          <w:sz w:val="20"/>
          <w:szCs w:val="20"/>
        </w:rPr>
      </w:pPr>
      <w:r>
        <w:rPr>
          <w:rFonts w:ascii="Arial" w:hAnsi="Arial" w:cs="Arial"/>
          <w:bCs/>
          <w:sz w:val="20"/>
          <w:szCs w:val="20"/>
        </w:rPr>
        <w:t xml:space="preserve">In this approach, the index </w:t>
      </w:r>
      <w:r w:rsidR="003E5A69">
        <w:rPr>
          <w:rFonts w:ascii="Arial" w:hAnsi="Arial" w:cs="Arial"/>
          <w:bCs/>
          <w:sz w:val="20"/>
          <w:szCs w:val="20"/>
        </w:rPr>
        <w:t>visit is defined as above.</w:t>
      </w:r>
      <w:r w:rsidR="00A93B45">
        <w:rPr>
          <w:rFonts w:ascii="Arial" w:hAnsi="Arial" w:cs="Arial"/>
          <w:bCs/>
          <w:sz w:val="20"/>
          <w:szCs w:val="20"/>
        </w:rPr>
        <w:t xml:space="preserve"> </w:t>
      </w:r>
      <w:r w:rsidR="003E5A69">
        <w:rPr>
          <w:rFonts w:ascii="Arial" w:hAnsi="Arial" w:cs="Arial"/>
          <w:bCs/>
          <w:sz w:val="20"/>
          <w:szCs w:val="20"/>
        </w:rPr>
        <w:t xml:space="preserve">For </w:t>
      </w:r>
      <w:r w:rsidR="00FA10D7">
        <w:rPr>
          <w:rFonts w:ascii="Arial" w:hAnsi="Arial" w:cs="Arial"/>
          <w:bCs/>
          <w:sz w:val="20"/>
          <w:szCs w:val="20"/>
        </w:rPr>
        <w:t>control</w:t>
      </w:r>
      <w:r w:rsidR="0025501F">
        <w:rPr>
          <w:rFonts w:ascii="Arial" w:hAnsi="Arial" w:cs="Arial"/>
          <w:bCs/>
          <w:sz w:val="20"/>
          <w:szCs w:val="20"/>
        </w:rPr>
        <w:t xml:space="preserve"> strategies</w:t>
      </w:r>
      <w:r w:rsidR="003429AC">
        <w:rPr>
          <w:rFonts w:ascii="Arial" w:hAnsi="Arial" w:cs="Arial"/>
          <w:bCs/>
          <w:sz w:val="20"/>
          <w:szCs w:val="20"/>
        </w:rPr>
        <w:t xml:space="preserve"> which involve no treatment use</w:t>
      </w:r>
      <w:r w:rsidR="0025501F">
        <w:rPr>
          <w:rFonts w:ascii="Arial" w:hAnsi="Arial" w:cs="Arial"/>
          <w:bCs/>
          <w:sz w:val="20"/>
          <w:szCs w:val="20"/>
        </w:rPr>
        <w:t xml:space="preserve"> (</w:t>
      </w:r>
      <w:r w:rsidR="00D62F00">
        <w:rPr>
          <w:rFonts w:ascii="Arial" w:hAnsi="Arial" w:cs="Arial"/>
          <w:bCs/>
          <w:sz w:val="20"/>
          <w:szCs w:val="20"/>
        </w:rPr>
        <w:t>e.g., placebo)</w:t>
      </w:r>
      <w:r w:rsidR="003429AC">
        <w:rPr>
          <w:rFonts w:ascii="Arial" w:hAnsi="Arial" w:cs="Arial"/>
          <w:bCs/>
          <w:sz w:val="20"/>
          <w:szCs w:val="20"/>
        </w:rPr>
        <w:t xml:space="preserve">, </w:t>
      </w:r>
      <w:r w:rsidR="00FA10D7">
        <w:rPr>
          <w:rFonts w:ascii="Arial" w:hAnsi="Arial" w:cs="Arial"/>
          <w:bCs/>
          <w:sz w:val="20"/>
          <w:szCs w:val="20"/>
        </w:rPr>
        <w:t xml:space="preserve">individuals are included in the control group if they do not have a prescription start date for the active treatment </w:t>
      </w:r>
      <w:r w:rsidR="00EE21F5">
        <w:rPr>
          <w:rFonts w:ascii="Arial" w:hAnsi="Arial" w:cs="Arial"/>
          <w:bCs/>
          <w:sz w:val="20"/>
          <w:szCs w:val="20"/>
        </w:rPr>
        <w:t>in the time between the index date and the subsequent annual review</w:t>
      </w:r>
      <w:r w:rsidR="00FA10D7">
        <w:rPr>
          <w:rFonts w:ascii="Arial" w:hAnsi="Arial" w:cs="Arial"/>
          <w:bCs/>
          <w:sz w:val="20"/>
          <w:szCs w:val="20"/>
        </w:rPr>
        <w:t>. T</w:t>
      </w:r>
      <w:r w:rsidR="003429AC">
        <w:rPr>
          <w:rFonts w:ascii="Arial" w:hAnsi="Arial" w:cs="Arial"/>
          <w:bCs/>
          <w:sz w:val="20"/>
          <w:szCs w:val="20"/>
        </w:rPr>
        <w:t xml:space="preserve">ime 0 and the follow-up visit are </w:t>
      </w:r>
      <w:r w:rsidR="00FA10D7">
        <w:rPr>
          <w:rFonts w:ascii="Arial" w:hAnsi="Arial" w:cs="Arial"/>
          <w:bCs/>
          <w:sz w:val="20"/>
          <w:szCs w:val="20"/>
        </w:rPr>
        <w:t xml:space="preserve">then </w:t>
      </w:r>
      <w:r w:rsidR="003429AC">
        <w:rPr>
          <w:rFonts w:ascii="Arial" w:hAnsi="Arial" w:cs="Arial"/>
          <w:bCs/>
          <w:sz w:val="20"/>
          <w:szCs w:val="20"/>
        </w:rPr>
        <w:t>defined as above.</w:t>
      </w:r>
      <w:r w:rsidR="00131BA9">
        <w:rPr>
          <w:rFonts w:ascii="Arial" w:hAnsi="Arial" w:cs="Arial"/>
          <w:bCs/>
          <w:sz w:val="20"/>
          <w:szCs w:val="20"/>
        </w:rPr>
        <w:t xml:space="preserve"> For treatment strategies </w:t>
      </w:r>
      <w:r w:rsidR="00FA10D7">
        <w:rPr>
          <w:rFonts w:ascii="Arial" w:hAnsi="Arial" w:cs="Arial"/>
          <w:bCs/>
          <w:sz w:val="20"/>
          <w:szCs w:val="20"/>
        </w:rPr>
        <w:t xml:space="preserve">and control strategies </w:t>
      </w:r>
      <w:r w:rsidR="00131BA9">
        <w:rPr>
          <w:rFonts w:ascii="Arial" w:hAnsi="Arial" w:cs="Arial"/>
          <w:bCs/>
          <w:sz w:val="20"/>
          <w:szCs w:val="20"/>
        </w:rPr>
        <w:t xml:space="preserve">which involve </w:t>
      </w:r>
      <w:r w:rsidR="00B1067E">
        <w:rPr>
          <w:rFonts w:ascii="Arial" w:hAnsi="Arial" w:cs="Arial"/>
          <w:bCs/>
          <w:sz w:val="20"/>
          <w:szCs w:val="20"/>
        </w:rPr>
        <w:t>active treatment</w:t>
      </w:r>
      <w:r w:rsidR="001A4751">
        <w:rPr>
          <w:rFonts w:ascii="Arial" w:hAnsi="Arial" w:cs="Arial"/>
          <w:bCs/>
          <w:sz w:val="20"/>
          <w:szCs w:val="20"/>
        </w:rPr>
        <w:t>s</w:t>
      </w:r>
      <w:r w:rsidR="003E5A69">
        <w:rPr>
          <w:rFonts w:ascii="Arial" w:hAnsi="Arial" w:cs="Arial"/>
          <w:bCs/>
          <w:sz w:val="20"/>
          <w:szCs w:val="20"/>
        </w:rPr>
        <w:t>,</w:t>
      </w:r>
      <w:r w:rsidR="00FA10D7">
        <w:rPr>
          <w:rFonts w:ascii="Arial" w:hAnsi="Arial" w:cs="Arial"/>
          <w:bCs/>
          <w:sz w:val="20"/>
          <w:szCs w:val="20"/>
        </w:rPr>
        <w:t xml:space="preserve"> individuals are included in the relevant groups if</w:t>
      </w:r>
      <w:r w:rsidR="00CE59CC">
        <w:rPr>
          <w:rFonts w:ascii="Arial" w:hAnsi="Arial" w:cs="Arial"/>
          <w:bCs/>
          <w:sz w:val="20"/>
          <w:szCs w:val="20"/>
        </w:rPr>
        <w:t xml:space="preserve"> the </w:t>
      </w:r>
      <w:r w:rsidR="001B7F33">
        <w:rPr>
          <w:rFonts w:ascii="Arial" w:hAnsi="Arial" w:cs="Arial"/>
          <w:bCs/>
          <w:sz w:val="20"/>
          <w:szCs w:val="20"/>
        </w:rPr>
        <w:t>prescription start dates</w:t>
      </w:r>
      <w:r w:rsidR="00CE59CC">
        <w:rPr>
          <w:rFonts w:ascii="Arial" w:hAnsi="Arial" w:cs="Arial"/>
          <w:bCs/>
          <w:sz w:val="20"/>
          <w:szCs w:val="20"/>
        </w:rPr>
        <w:t xml:space="preserve"> data</w:t>
      </w:r>
      <w:r w:rsidR="001B7F33">
        <w:rPr>
          <w:rFonts w:ascii="Arial" w:hAnsi="Arial" w:cs="Arial"/>
          <w:bCs/>
          <w:sz w:val="20"/>
          <w:szCs w:val="20"/>
        </w:rPr>
        <w:t xml:space="preserve"> are consistent with the relevant treatment strategy</w:t>
      </w:r>
      <w:r w:rsidR="00EE21F5">
        <w:rPr>
          <w:rFonts w:ascii="Arial" w:hAnsi="Arial" w:cs="Arial"/>
          <w:bCs/>
          <w:sz w:val="20"/>
          <w:szCs w:val="20"/>
        </w:rPr>
        <w:t xml:space="preserve"> in the time between the index visit and the subsequent annual review.</w:t>
      </w:r>
      <w:r w:rsidR="00FD5FED">
        <w:rPr>
          <w:rFonts w:ascii="Arial" w:hAnsi="Arial" w:cs="Arial"/>
          <w:bCs/>
          <w:sz w:val="20"/>
          <w:szCs w:val="20"/>
        </w:rPr>
        <w:t xml:space="preserve"> For example, </w:t>
      </w:r>
      <w:r w:rsidR="00395DBB">
        <w:rPr>
          <w:rFonts w:ascii="Arial" w:hAnsi="Arial" w:cs="Arial"/>
          <w:bCs/>
          <w:sz w:val="20"/>
          <w:szCs w:val="20"/>
        </w:rPr>
        <w:t>if a control strategy is defined as taking tobramycin but not aztreonam, the data would be consistent with this strategy if there was a start date for tobramycin and no start date for aztreonam.</w:t>
      </w:r>
      <w:r w:rsidR="00EE21F5">
        <w:rPr>
          <w:rFonts w:ascii="Arial" w:hAnsi="Arial" w:cs="Arial"/>
          <w:bCs/>
          <w:sz w:val="20"/>
          <w:szCs w:val="20"/>
        </w:rPr>
        <w:t xml:space="preserve"> T</w:t>
      </w:r>
      <w:r w:rsidR="003E5A69">
        <w:rPr>
          <w:rFonts w:ascii="Arial" w:hAnsi="Arial" w:cs="Arial"/>
          <w:bCs/>
          <w:sz w:val="20"/>
          <w:szCs w:val="20"/>
        </w:rPr>
        <w:t>ime 0 is defined as the first date post-index visit at which the active treatment is prescribed</w:t>
      </w:r>
      <w:r w:rsidR="00D74FCD">
        <w:rPr>
          <w:rFonts w:ascii="Arial" w:hAnsi="Arial" w:cs="Arial"/>
          <w:bCs/>
          <w:sz w:val="20"/>
          <w:szCs w:val="20"/>
        </w:rPr>
        <w:t xml:space="preserve"> (in our example, time 0 would be the prescription start date for tobramycin)</w:t>
      </w:r>
      <w:r w:rsidR="003E5A69">
        <w:rPr>
          <w:rFonts w:ascii="Arial" w:hAnsi="Arial" w:cs="Arial"/>
          <w:bCs/>
          <w:sz w:val="20"/>
          <w:szCs w:val="20"/>
        </w:rPr>
        <w:t>.</w:t>
      </w:r>
      <w:r w:rsidR="009F5F82">
        <w:rPr>
          <w:rFonts w:ascii="Arial" w:hAnsi="Arial" w:cs="Arial"/>
          <w:bCs/>
          <w:sz w:val="20"/>
          <w:szCs w:val="20"/>
        </w:rPr>
        <w:t xml:space="preserve"> The follow-up visit is defined as the next annual review visit which falls within </w:t>
      </w:r>
      <w:r w:rsidR="00210786">
        <w:rPr>
          <w:rFonts w:ascii="Arial" w:hAnsi="Arial" w:cs="Arial"/>
          <w:bCs/>
          <w:sz w:val="20"/>
          <w:szCs w:val="20"/>
        </w:rPr>
        <w:t>72 weeks</w:t>
      </w:r>
      <w:r w:rsidR="009F5F82">
        <w:rPr>
          <w:rFonts w:ascii="Arial" w:hAnsi="Arial" w:cs="Arial"/>
          <w:bCs/>
          <w:sz w:val="20"/>
          <w:szCs w:val="20"/>
        </w:rPr>
        <w:t xml:space="preserve"> after time 0. </w:t>
      </w:r>
      <w:r w:rsidR="003E5A69">
        <w:rPr>
          <w:rFonts w:ascii="Arial" w:hAnsi="Arial" w:cs="Arial"/>
          <w:bCs/>
          <w:sz w:val="20"/>
          <w:szCs w:val="20"/>
        </w:rPr>
        <w:t xml:space="preserve"> </w:t>
      </w:r>
    </w:p>
    <w:p w14:paraId="307785DE" w14:textId="46414D73" w:rsidR="00CC6237" w:rsidRDefault="00CC6237" w:rsidP="00CC6237">
      <w:pPr>
        <w:pStyle w:val="Caption"/>
        <w:keepNext/>
      </w:pPr>
      <w:r w:rsidRPr="00BC58B4">
        <w:t xml:space="preserve">Figure 2: Illustration of the different ways of defining time 0. In this example, we assume the study uses data from 2016-2018 and 2016 is the first year in which the eligibility criteria are </w:t>
      </w:r>
      <w:r w:rsidR="0025567E" w:rsidRPr="00BC58B4">
        <w:t>met,</w:t>
      </w:r>
      <w:r w:rsidR="00316F33">
        <w:t xml:space="preserve"> and time is measured in years since the index visit. </w:t>
      </w:r>
    </w:p>
    <w:p w14:paraId="4B079597" w14:textId="77777777" w:rsidR="00CD01F8" w:rsidRDefault="00CD01F8" w:rsidP="0025567E">
      <w:pPr>
        <w:pStyle w:val="ListParagraph"/>
        <w:keepNext/>
        <w:ind w:left="0"/>
        <w:jc w:val="center"/>
      </w:pPr>
      <w:r>
        <w:rPr>
          <w:rFonts w:ascii="Arial" w:hAnsi="Arial" w:cs="Arial"/>
          <w:bCs/>
          <w:noProof/>
          <w:sz w:val="20"/>
          <w:szCs w:val="20"/>
        </w:rPr>
        <w:drawing>
          <wp:inline distT="0" distB="0" distL="0" distR="0" wp14:anchorId="3090068F" wp14:editId="0AD6776F">
            <wp:extent cx="4762500" cy="2663704"/>
            <wp:effectExtent l="0" t="0" r="0" b="3810"/>
            <wp:docPr id="1683775489" name="Picture 1" descr="A screenshot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775489" name="Picture 1" descr="A screenshot of a diagram&#10;&#10;AI-generated content may be incorrect."/>
                    <pic:cNvPicPr/>
                  </pic:nvPicPr>
                  <pic:blipFill rotWithShape="1">
                    <a:blip r:embed="rId7">
                      <a:extLst>
                        <a:ext uri="{28A0092B-C50C-407E-A947-70E740481C1C}">
                          <a14:useLocalDpi xmlns:a14="http://schemas.microsoft.com/office/drawing/2010/main" val="0"/>
                        </a:ext>
                      </a:extLst>
                    </a:blip>
                    <a:srcRect t="1240" b="1228"/>
                    <a:stretch/>
                  </pic:blipFill>
                  <pic:spPr bwMode="auto">
                    <a:xfrm>
                      <a:off x="0" y="0"/>
                      <a:ext cx="4765517" cy="2665391"/>
                    </a:xfrm>
                    <a:prstGeom prst="rect">
                      <a:avLst/>
                    </a:prstGeom>
                    <a:ln>
                      <a:noFill/>
                    </a:ln>
                    <a:extLst>
                      <a:ext uri="{53640926-AAD7-44D8-BBD7-CCE9431645EC}">
                        <a14:shadowObscured xmlns:a14="http://schemas.microsoft.com/office/drawing/2010/main"/>
                      </a:ext>
                    </a:extLst>
                  </pic:spPr>
                </pic:pic>
              </a:graphicData>
            </a:graphic>
          </wp:inline>
        </w:drawing>
      </w:r>
    </w:p>
    <w:p w14:paraId="0FA7764D" w14:textId="1AD292A3" w:rsidR="003E7788" w:rsidRDefault="003E7788" w:rsidP="001A3E2E">
      <w:pPr>
        <w:pStyle w:val="Heading3"/>
        <w:numPr>
          <w:ilvl w:val="2"/>
          <w:numId w:val="19"/>
        </w:numPr>
      </w:pPr>
      <w:r>
        <w:t>Follow-up period</w:t>
      </w:r>
    </w:p>
    <w:p w14:paraId="69B2952C" w14:textId="2CFE6E06" w:rsidR="003E7788" w:rsidRPr="00F45C8D" w:rsidRDefault="003E7788" w:rsidP="00F45C8D">
      <w:pPr>
        <w:rPr>
          <w:rFonts w:ascii="Arial" w:hAnsi="Arial" w:cs="Arial"/>
          <w:sz w:val="20"/>
          <w:szCs w:val="20"/>
        </w:rPr>
      </w:pPr>
      <w:r w:rsidRPr="00F45C8D">
        <w:rPr>
          <w:rFonts w:ascii="Arial" w:hAnsi="Arial" w:cs="Arial"/>
          <w:sz w:val="20"/>
          <w:szCs w:val="20"/>
        </w:rPr>
        <w:t>The follow-up period for all target trials was 168 days</w:t>
      </w:r>
      <w:r w:rsidR="00676581" w:rsidRPr="00F45C8D">
        <w:rPr>
          <w:rFonts w:ascii="Arial" w:hAnsi="Arial" w:cs="Arial"/>
          <w:sz w:val="20"/>
          <w:szCs w:val="20"/>
        </w:rPr>
        <w:t xml:space="preserve"> (i.e., 24 weeks). </w:t>
      </w:r>
      <w:r w:rsidR="00077F8C" w:rsidRPr="00F45C8D">
        <w:rPr>
          <w:rFonts w:ascii="Arial" w:hAnsi="Arial" w:cs="Arial"/>
          <w:sz w:val="20"/>
          <w:szCs w:val="20"/>
        </w:rPr>
        <w:t>The follow-up times</w:t>
      </w:r>
      <w:r w:rsidR="00316F33">
        <w:rPr>
          <w:rFonts w:ascii="Arial" w:hAnsi="Arial" w:cs="Arial"/>
          <w:sz w:val="20"/>
          <w:szCs w:val="20"/>
        </w:rPr>
        <w:t xml:space="preserve"> in </w:t>
      </w:r>
      <w:r w:rsidR="008F3E0A" w:rsidRPr="00F45C8D">
        <w:rPr>
          <w:rFonts w:ascii="Arial" w:hAnsi="Arial" w:cs="Arial"/>
          <w:sz w:val="20"/>
          <w:szCs w:val="20"/>
        </w:rPr>
        <w:t>the emulated trials</w:t>
      </w:r>
      <w:r w:rsidR="00316F33">
        <w:rPr>
          <w:rFonts w:ascii="Arial" w:hAnsi="Arial" w:cs="Arial"/>
          <w:sz w:val="20"/>
          <w:szCs w:val="20"/>
        </w:rPr>
        <w:t xml:space="preserve"> </w:t>
      </w:r>
      <w:r w:rsidR="00316F33" w:rsidRPr="00F45C8D">
        <w:rPr>
          <w:rFonts w:ascii="Arial" w:hAnsi="Arial" w:cs="Arial"/>
          <w:sz w:val="20"/>
          <w:szCs w:val="20"/>
        </w:rPr>
        <w:t xml:space="preserve">(i.e., the time between time 0 and the follow-up visit) </w:t>
      </w:r>
      <w:r w:rsidR="008F3E0A" w:rsidRPr="00F45C8D">
        <w:rPr>
          <w:rFonts w:ascii="Arial" w:hAnsi="Arial" w:cs="Arial"/>
          <w:sz w:val="20"/>
          <w:szCs w:val="20"/>
        </w:rPr>
        <w:t xml:space="preserve">will differ between </w:t>
      </w:r>
      <w:r w:rsidR="00F45C8D">
        <w:rPr>
          <w:rFonts w:ascii="Arial" w:hAnsi="Arial" w:cs="Arial"/>
          <w:sz w:val="20"/>
          <w:szCs w:val="20"/>
        </w:rPr>
        <w:t>individuals</w:t>
      </w:r>
      <w:r w:rsidR="00210786">
        <w:rPr>
          <w:rFonts w:ascii="Arial" w:hAnsi="Arial" w:cs="Arial"/>
          <w:sz w:val="20"/>
          <w:szCs w:val="20"/>
        </w:rPr>
        <w:t xml:space="preserve"> and will range from 0 to 72. </w:t>
      </w:r>
    </w:p>
    <w:p w14:paraId="20DC3B5B" w14:textId="539732F9" w:rsidR="0079755F" w:rsidRDefault="00707887" w:rsidP="009A7B51">
      <w:pPr>
        <w:pStyle w:val="Heading2"/>
        <w:numPr>
          <w:ilvl w:val="1"/>
          <w:numId w:val="19"/>
        </w:numPr>
      </w:pPr>
      <w:r>
        <w:t xml:space="preserve">Target and emulated trial 1: </w:t>
      </w:r>
      <w:r w:rsidR="000222B4">
        <w:t xml:space="preserve">Eligibility criteria, treatment strategies and outcomes </w:t>
      </w:r>
    </w:p>
    <w:p w14:paraId="4E7758D1" w14:textId="7E85C751" w:rsidR="009A7B51" w:rsidRPr="0097024F" w:rsidRDefault="00E457C1" w:rsidP="009A7B51">
      <w:pPr>
        <w:rPr>
          <w:rFonts w:ascii="Arial" w:hAnsi="Arial" w:cs="Arial"/>
          <w:sz w:val="20"/>
          <w:szCs w:val="20"/>
        </w:rPr>
      </w:pPr>
      <w:r>
        <w:rPr>
          <w:rFonts w:ascii="Arial" w:hAnsi="Arial" w:cs="Arial"/>
          <w:sz w:val="20"/>
          <w:szCs w:val="20"/>
        </w:rPr>
        <w:t>In this section, we provide detail</w:t>
      </w:r>
      <w:r w:rsidR="007416B1">
        <w:rPr>
          <w:rFonts w:ascii="Arial" w:hAnsi="Arial" w:cs="Arial"/>
          <w:sz w:val="20"/>
          <w:szCs w:val="20"/>
        </w:rPr>
        <w:t>s</w:t>
      </w:r>
      <w:r>
        <w:rPr>
          <w:rFonts w:ascii="Arial" w:hAnsi="Arial" w:cs="Arial"/>
          <w:sz w:val="20"/>
          <w:szCs w:val="20"/>
        </w:rPr>
        <w:t xml:space="preserve"> on how target trial 1 will be emulated using the UK CF Registry data. Section 4.2.1 provides details on the eligibility </w:t>
      </w:r>
      <w:r w:rsidR="007416B1">
        <w:rPr>
          <w:rFonts w:ascii="Arial" w:hAnsi="Arial" w:cs="Arial"/>
          <w:sz w:val="20"/>
          <w:szCs w:val="20"/>
        </w:rPr>
        <w:t>criteria;</w:t>
      </w:r>
      <w:r>
        <w:rPr>
          <w:rFonts w:ascii="Arial" w:hAnsi="Arial" w:cs="Arial"/>
          <w:sz w:val="20"/>
          <w:szCs w:val="20"/>
        </w:rPr>
        <w:t xml:space="preserve"> section 4.2.2 describes the treatment strategies and section 4.2.3 lists the primary and secondary outcomes. </w:t>
      </w:r>
    </w:p>
    <w:p w14:paraId="0A42F096" w14:textId="3D526C11" w:rsidR="003761B6" w:rsidRDefault="00121AF5" w:rsidP="00121AF5">
      <w:pPr>
        <w:pStyle w:val="Heading3"/>
      </w:pPr>
      <w:r>
        <w:lastRenderedPageBreak/>
        <w:t xml:space="preserve">4.2.1 </w:t>
      </w:r>
      <w:r w:rsidR="00B035A7">
        <w:t xml:space="preserve">Eligibility criteria </w:t>
      </w:r>
    </w:p>
    <w:p w14:paraId="335B11A0" w14:textId="602E217A" w:rsidR="003761B6" w:rsidRPr="00AA62F7" w:rsidRDefault="00631872" w:rsidP="003761B6">
      <w:pPr>
        <w:rPr>
          <w:rFonts w:ascii="Arial" w:hAnsi="Arial" w:cs="Arial"/>
          <w:sz w:val="20"/>
          <w:szCs w:val="20"/>
        </w:rPr>
      </w:pPr>
      <w:r w:rsidRPr="00AA62F7">
        <w:rPr>
          <w:rFonts w:ascii="Arial" w:hAnsi="Arial" w:cs="Arial"/>
          <w:sz w:val="20"/>
          <w:szCs w:val="20"/>
        </w:rPr>
        <w:t xml:space="preserve">Table </w:t>
      </w:r>
      <w:r w:rsidR="00E91C0B">
        <w:rPr>
          <w:rFonts w:ascii="Arial" w:hAnsi="Arial" w:cs="Arial"/>
          <w:sz w:val="20"/>
          <w:szCs w:val="20"/>
        </w:rPr>
        <w:t>3</w:t>
      </w:r>
      <w:r w:rsidRPr="00AA62F7">
        <w:rPr>
          <w:rFonts w:ascii="Arial" w:hAnsi="Arial" w:cs="Arial"/>
          <w:sz w:val="20"/>
          <w:szCs w:val="20"/>
        </w:rPr>
        <w:t xml:space="preserve"> details the inclusion and exclusion criteria used in target trial 1</w:t>
      </w:r>
      <w:r w:rsidR="00822DB5">
        <w:rPr>
          <w:rFonts w:ascii="Arial" w:hAnsi="Arial" w:cs="Arial"/>
          <w:sz w:val="20"/>
          <w:szCs w:val="20"/>
        </w:rPr>
        <w:t xml:space="preserve"> </w:t>
      </w:r>
      <w:r w:rsidRPr="00AA62F7">
        <w:rPr>
          <w:rFonts w:ascii="Arial" w:hAnsi="Arial" w:cs="Arial"/>
          <w:sz w:val="20"/>
          <w:szCs w:val="20"/>
        </w:rPr>
        <w:t xml:space="preserve">and how </w:t>
      </w:r>
      <w:r w:rsidR="00071E28" w:rsidRPr="00AA62F7">
        <w:rPr>
          <w:rFonts w:ascii="Arial" w:hAnsi="Arial" w:cs="Arial"/>
          <w:sz w:val="20"/>
          <w:szCs w:val="20"/>
        </w:rPr>
        <w:t xml:space="preserve">we plan to emulate these criteria using the UK CF Registry data.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352A7" w14:paraId="66B1B686" w14:textId="77777777" w:rsidTr="00631872">
        <w:tc>
          <w:tcPr>
            <w:tcW w:w="9016" w:type="dxa"/>
            <w:gridSpan w:val="2"/>
            <w:tcBorders>
              <w:top w:val="nil"/>
              <w:bottom w:val="single" w:sz="4" w:space="0" w:color="auto"/>
            </w:tcBorders>
          </w:tcPr>
          <w:p w14:paraId="5FCA15C3" w14:textId="6CBA1BD2" w:rsidR="00B352A7" w:rsidRPr="00AA62F7" w:rsidRDefault="00B352A7" w:rsidP="003761B6">
            <w:pPr>
              <w:rPr>
                <w:rFonts w:ascii="Arial" w:hAnsi="Arial" w:cs="Arial"/>
                <w:i/>
                <w:iCs/>
                <w:sz w:val="20"/>
                <w:szCs w:val="20"/>
              </w:rPr>
            </w:pPr>
            <w:r w:rsidRPr="00AA62F7">
              <w:rPr>
                <w:rFonts w:ascii="Arial" w:hAnsi="Arial" w:cs="Arial"/>
                <w:i/>
                <w:iCs/>
                <w:sz w:val="20"/>
                <w:szCs w:val="20"/>
              </w:rPr>
              <w:t xml:space="preserve">Table </w:t>
            </w:r>
            <w:r w:rsidR="00822DB5">
              <w:rPr>
                <w:rFonts w:ascii="Arial" w:hAnsi="Arial" w:cs="Arial"/>
                <w:i/>
                <w:iCs/>
                <w:sz w:val="20"/>
                <w:szCs w:val="20"/>
              </w:rPr>
              <w:t>3</w:t>
            </w:r>
            <w:r w:rsidRPr="00AA62F7">
              <w:rPr>
                <w:rFonts w:ascii="Arial" w:hAnsi="Arial" w:cs="Arial"/>
                <w:i/>
                <w:iCs/>
                <w:sz w:val="20"/>
                <w:szCs w:val="20"/>
              </w:rPr>
              <w:t>: Eligibility criteria</w:t>
            </w:r>
            <w:r w:rsidR="00631872" w:rsidRPr="00AA62F7">
              <w:rPr>
                <w:rFonts w:ascii="Arial" w:hAnsi="Arial" w:cs="Arial"/>
                <w:i/>
                <w:iCs/>
                <w:sz w:val="20"/>
                <w:szCs w:val="20"/>
              </w:rPr>
              <w:t xml:space="preserve"> for target trial 1 and the associated emulated trial </w:t>
            </w:r>
          </w:p>
        </w:tc>
      </w:tr>
      <w:tr w:rsidR="00735A03" w14:paraId="2108E981" w14:textId="77777777" w:rsidTr="00B352A7">
        <w:tc>
          <w:tcPr>
            <w:tcW w:w="4508" w:type="dxa"/>
            <w:tcBorders>
              <w:top w:val="single" w:sz="4" w:space="0" w:color="auto"/>
            </w:tcBorders>
          </w:tcPr>
          <w:p w14:paraId="36C4F60F" w14:textId="42F35D32" w:rsidR="00735A03" w:rsidRPr="00726233" w:rsidRDefault="00735A03" w:rsidP="003761B6">
            <w:pPr>
              <w:rPr>
                <w:rFonts w:ascii="Arial" w:hAnsi="Arial" w:cs="Arial"/>
                <w:b/>
                <w:bCs/>
                <w:sz w:val="20"/>
                <w:szCs w:val="20"/>
              </w:rPr>
            </w:pPr>
            <w:r w:rsidRPr="00726233">
              <w:rPr>
                <w:rFonts w:ascii="Arial" w:hAnsi="Arial" w:cs="Arial"/>
                <w:b/>
                <w:bCs/>
                <w:sz w:val="20"/>
                <w:szCs w:val="20"/>
              </w:rPr>
              <w:t>Target trial</w:t>
            </w:r>
          </w:p>
        </w:tc>
        <w:tc>
          <w:tcPr>
            <w:tcW w:w="4508" w:type="dxa"/>
            <w:tcBorders>
              <w:top w:val="single" w:sz="4" w:space="0" w:color="auto"/>
            </w:tcBorders>
          </w:tcPr>
          <w:p w14:paraId="3D2073D8" w14:textId="5CB135BF" w:rsidR="00735A03" w:rsidRPr="00726233" w:rsidRDefault="00735A03" w:rsidP="003761B6">
            <w:pPr>
              <w:rPr>
                <w:rFonts w:ascii="Arial" w:hAnsi="Arial" w:cs="Arial"/>
                <w:b/>
                <w:bCs/>
                <w:sz w:val="20"/>
                <w:szCs w:val="20"/>
              </w:rPr>
            </w:pPr>
            <w:r w:rsidRPr="00726233">
              <w:rPr>
                <w:rFonts w:ascii="Arial" w:hAnsi="Arial" w:cs="Arial"/>
                <w:b/>
                <w:bCs/>
                <w:sz w:val="20"/>
                <w:szCs w:val="20"/>
              </w:rPr>
              <w:t>Emulated Trial</w:t>
            </w:r>
          </w:p>
        </w:tc>
      </w:tr>
      <w:tr w:rsidR="003761B6" w14:paraId="4ED6ACF5" w14:textId="77777777" w:rsidTr="00B352A7">
        <w:tc>
          <w:tcPr>
            <w:tcW w:w="4508" w:type="dxa"/>
            <w:tcBorders>
              <w:top w:val="single" w:sz="4" w:space="0" w:color="auto"/>
            </w:tcBorders>
          </w:tcPr>
          <w:p w14:paraId="06E152D1" w14:textId="1C127A65" w:rsidR="003761B6" w:rsidRPr="00AA62F7" w:rsidRDefault="003761B6" w:rsidP="003761B6">
            <w:pPr>
              <w:rPr>
                <w:rFonts w:ascii="Arial" w:hAnsi="Arial" w:cs="Arial"/>
                <w:sz w:val="20"/>
                <w:szCs w:val="20"/>
              </w:rPr>
            </w:pPr>
            <w:r w:rsidRPr="00AA62F7">
              <w:rPr>
                <w:rFonts w:ascii="Arial" w:hAnsi="Arial" w:cs="Arial"/>
                <w:sz w:val="20"/>
                <w:szCs w:val="20"/>
              </w:rPr>
              <w:t xml:space="preserve">Inclusion </w:t>
            </w:r>
            <w:r w:rsidR="00AE37EC">
              <w:rPr>
                <w:rFonts w:ascii="Arial" w:hAnsi="Arial" w:cs="Arial"/>
                <w:sz w:val="20"/>
                <w:szCs w:val="20"/>
              </w:rPr>
              <w:t>c</w:t>
            </w:r>
            <w:r w:rsidRPr="00AA62F7">
              <w:rPr>
                <w:rFonts w:ascii="Arial" w:hAnsi="Arial" w:cs="Arial"/>
                <w:sz w:val="20"/>
                <w:szCs w:val="20"/>
              </w:rPr>
              <w:t>riteria:</w:t>
            </w:r>
          </w:p>
          <w:p w14:paraId="7148AB36" w14:textId="77777777" w:rsidR="003761B6" w:rsidRPr="00AA62F7" w:rsidRDefault="003761B6" w:rsidP="001A3E2E">
            <w:pPr>
              <w:pStyle w:val="ListParagraph"/>
              <w:numPr>
                <w:ilvl w:val="0"/>
                <w:numId w:val="3"/>
              </w:numPr>
              <w:rPr>
                <w:rFonts w:ascii="Arial" w:hAnsi="Arial" w:cs="Arial"/>
                <w:sz w:val="20"/>
                <w:szCs w:val="20"/>
              </w:rPr>
            </w:pPr>
            <w:r w:rsidRPr="00AA62F7">
              <w:rPr>
                <w:rFonts w:ascii="Arial" w:hAnsi="Arial" w:cs="Arial"/>
                <w:sz w:val="20"/>
                <w:szCs w:val="20"/>
              </w:rPr>
              <w:t>Males or females aged 6 years and older</w:t>
            </w:r>
          </w:p>
          <w:p w14:paraId="0BDD222C" w14:textId="11A2C03C" w:rsidR="003761B6" w:rsidRPr="00AA62F7" w:rsidRDefault="003761B6" w:rsidP="001A3E2E">
            <w:pPr>
              <w:pStyle w:val="ListParagraph"/>
              <w:numPr>
                <w:ilvl w:val="0"/>
                <w:numId w:val="3"/>
              </w:numPr>
              <w:rPr>
                <w:rFonts w:ascii="Arial" w:hAnsi="Arial" w:cs="Arial"/>
                <w:sz w:val="20"/>
                <w:szCs w:val="20"/>
              </w:rPr>
            </w:pPr>
            <w:r w:rsidRPr="00AA62F7">
              <w:rPr>
                <w:rFonts w:ascii="Arial" w:hAnsi="Arial" w:cs="Arial"/>
                <w:sz w:val="20"/>
                <w:szCs w:val="20"/>
              </w:rPr>
              <w:t xml:space="preserve">Subjects with </w:t>
            </w:r>
            <w:r w:rsidR="00A81D45" w:rsidRPr="00AA62F7">
              <w:rPr>
                <w:rFonts w:ascii="Arial" w:hAnsi="Arial" w:cs="Arial"/>
                <w:sz w:val="20"/>
                <w:szCs w:val="20"/>
              </w:rPr>
              <w:t xml:space="preserve">diagnosed CF. </w:t>
            </w:r>
          </w:p>
          <w:p w14:paraId="3D749F9E" w14:textId="3C86CEEC" w:rsidR="003761B6" w:rsidRPr="00AA62F7" w:rsidRDefault="003761B6" w:rsidP="001A3E2E">
            <w:pPr>
              <w:pStyle w:val="ListParagraph"/>
              <w:numPr>
                <w:ilvl w:val="0"/>
                <w:numId w:val="3"/>
              </w:numPr>
              <w:rPr>
                <w:rFonts w:ascii="Arial" w:hAnsi="Arial" w:cs="Arial"/>
                <w:sz w:val="20"/>
                <w:szCs w:val="20"/>
              </w:rPr>
            </w:pPr>
            <w:r w:rsidRPr="00AA62F7">
              <w:rPr>
                <w:rFonts w:ascii="Arial" w:hAnsi="Arial" w:cs="Arial"/>
                <w:sz w:val="20"/>
                <w:szCs w:val="20"/>
              </w:rPr>
              <w:t>Documented</w:t>
            </w:r>
            <w:r w:rsidR="00E9646B">
              <w:rPr>
                <w:rFonts w:ascii="Arial" w:hAnsi="Arial" w:cs="Arial"/>
                <w:sz w:val="20"/>
                <w:szCs w:val="20"/>
              </w:rPr>
              <w:t xml:space="preserve"> </w:t>
            </w:r>
            <w:r w:rsidR="00E9646B" w:rsidRPr="00B066BD">
              <w:rPr>
                <w:rFonts w:ascii="Arial" w:hAnsi="Arial" w:cs="Arial"/>
                <w:i/>
                <w:iCs/>
                <w:sz w:val="20"/>
                <w:szCs w:val="20"/>
              </w:rPr>
              <w:t>Pseudomonas aeruginosa</w:t>
            </w:r>
            <w:r w:rsidRPr="00AA62F7">
              <w:rPr>
                <w:rFonts w:ascii="Arial" w:hAnsi="Arial" w:cs="Arial"/>
                <w:sz w:val="20"/>
                <w:szCs w:val="20"/>
              </w:rPr>
              <w:t xml:space="preserve"> in an expectorated sputum or throat swab culture within 3 months prior to </w:t>
            </w:r>
            <w:r w:rsidR="005E7806" w:rsidRPr="00AA62F7">
              <w:rPr>
                <w:rFonts w:ascii="Arial" w:hAnsi="Arial" w:cs="Arial"/>
                <w:sz w:val="20"/>
                <w:szCs w:val="20"/>
              </w:rPr>
              <w:t>screening visit.</w:t>
            </w:r>
          </w:p>
          <w:p w14:paraId="3E1C3BA0" w14:textId="6D6CD511" w:rsidR="003761B6" w:rsidRPr="00AA62F7" w:rsidRDefault="003761B6" w:rsidP="001A3E2E">
            <w:pPr>
              <w:pStyle w:val="ListParagraph"/>
              <w:numPr>
                <w:ilvl w:val="0"/>
                <w:numId w:val="3"/>
              </w:numPr>
              <w:rPr>
                <w:rFonts w:ascii="Arial" w:hAnsi="Arial" w:cs="Arial"/>
                <w:sz w:val="20"/>
                <w:szCs w:val="20"/>
              </w:rPr>
            </w:pPr>
            <w:r w:rsidRPr="00AA62F7">
              <w:rPr>
                <w:rFonts w:ascii="Arial" w:hAnsi="Arial" w:cs="Arial"/>
                <w:sz w:val="20"/>
                <w:szCs w:val="20"/>
              </w:rPr>
              <w:t>Subjects must be able to provide written informed consent as necessary prior to any study related procedure</w:t>
            </w:r>
            <w:r w:rsidR="00480A44" w:rsidRPr="00AA62F7">
              <w:rPr>
                <w:rFonts w:ascii="Arial" w:hAnsi="Arial" w:cs="Arial"/>
                <w:sz w:val="20"/>
                <w:szCs w:val="20"/>
              </w:rPr>
              <w:t>.</w:t>
            </w:r>
            <w:r w:rsidRPr="00AA62F7">
              <w:rPr>
                <w:rFonts w:ascii="Arial" w:hAnsi="Arial" w:cs="Arial"/>
                <w:sz w:val="20"/>
                <w:szCs w:val="20"/>
              </w:rPr>
              <w:t xml:space="preserve"> </w:t>
            </w:r>
          </w:p>
          <w:p w14:paraId="5C28510D" w14:textId="30C6E69D" w:rsidR="003761B6" w:rsidRPr="00AA62F7" w:rsidRDefault="003761B6" w:rsidP="001A3E2E">
            <w:pPr>
              <w:pStyle w:val="ListParagraph"/>
              <w:numPr>
                <w:ilvl w:val="0"/>
                <w:numId w:val="3"/>
              </w:numPr>
              <w:rPr>
                <w:rFonts w:ascii="Arial" w:hAnsi="Arial" w:cs="Arial"/>
                <w:sz w:val="20"/>
                <w:szCs w:val="20"/>
              </w:rPr>
            </w:pPr>
            <w:r w:rsidRPr="00AA62F7">
              <w:rPr>
                <w:rFonts w:ascii="Arial" w:hAnsi="Arial" w:cs="Arial"/>
                <w:sz w:val="20"/>
                <w:szCs w:val="20"/>
              </w:rPr>
              <w:t>Subjects must have received previous treatment with aerosoli</w:t>
            </w:r>
            <w:r w:rsidR="00EE0E06">
              <w:rPr>
                <w:rFonts w:ascii="Arial" w:hAnsi="Arial" w:cs="Arial"/>
                <w:sz w:val="20"/>
                <w:szCs w:val="20"/>
              </w:rPr>
              <w:t>s</w:t>
            </w:r>
            <w:r w:rsidRPr="00AA62F7">
              <w:rPr>
                <w:rFonts w:ascii="Arial" w:hAnsi="Arial" w:cs="Arial"/>
                <w:sz w:val="20"/>
                <w:szCs w:val="20"/>
              </w:rPr>
              <w:t>ed antibiotics without demonstration of drug intolerance</w:t>
            </w:r>
            <w:r w:rsidR="00480A44" w:rsidRPr="00AA62F7">
              <w:rPr>
                <w:rFonts w:ascii="Arial" w:hAnsi="Arial" w:cs="Arial"/>
                <w:sz w:val="20"/>
                <w:szCs w:val="20"/>
              </w:rPr>
              <w:t>.</w:t>
            </w:r>
          </w:p>
          <w:p w14:paraId="11BA3718" w14:textId="1F43D739" w:rsidR="003761B6" w:rsidRPr="00AA62F7" w:rsidRDefault="003761B6" w:rsidP="001A3E2E">
            <w:pPr>
              <w:pStyle w:val="ListParagraph"/>
              <w:numPr>
                <w:ilvl w:val="0"/>
                <w:numId w:val="3"/>
              </w:numPr>
              <w:rPr>
                <w:rFonts w:ascii="Arial" w:hAnsi="Arial" w:cs="Arial"/>
                <w:sz w:val="20"/>
                <w:szCs w:val="20"/>
              </w:rPr>
            </w:pPr>
            <w:r w:rsidRPr="00AA62F7">
              <w:rPr>
                <w:rFonts w:ascii="Arial" w:hAnsi="Arial" w:cs="Arial"/>
                <w:sz w:val="20"/>
                <w:szCs w:val="20"/>
              </w:rPr>
              <w:t>FEV</w:t>
            </w:r>
            <w:r w:rsidRPr="00AA62F7">
              <w:rPr>
                <w:rFonts w:ascii="Arial" w:hAnsi="Arial" w:cs="Arial"/>
                <w:sz w:val="20"/>
                <w:szCs w:val="20"/>
                <w:vertAlign w:val="subscript"/>
              </w:rPr>
              <w:t>1</w:t>
            </w:r>
            <w:r w:rsidR="0018012D" w:rsidRPr="00AA62F7">
              <w:rPr>
                <w:rFonts w:ascii="Arial" w:hAnsi="Arial" w:cs="Arial"/>
                <w:sz w:val="20"/>
                <w:szCs w:val="20"/>
              </w:rPr>
              <w:t>%</w:t>
            </w:r>
            <w:r w:rsidRPr="00966CFE">
              <w:rPr>
                <w:rFonts w:ascii="Arial" w:hAnsi="Arial" w:cs="Arial"/>
                <w:sz w:val="20"/>
                <w:szCs w:val="20"/>
                <w:u w:val="single"/>
              </w:rPr>
              <w:t>&lt;</w:t>
            </w:r>
            <w:r w:rsidRPr="00AA62F7">
              <w:rPr>
                <w:rFonts w:ascii="Arial" w:hAnsi="Arial" w:cs="Arial"/>
                <w:sz w:val="20"/>
                <w:szCs w:val="20"/>
              </w:rPr>
              <w:t xml:space="preserve">75% </w:t>
            </w:r>
            <w:r w:rsidR="001F1E6C">
              <w:rPr>
                <w:rFonts w:ascii="Arial" w:hAnsi="Arial" w:cs="Arial"/>
                <w:sz w:val="20"/>
                <w:szCs w:val="20"/>
              </w:rPr>
              <w:t xml:space="preserve">predicted </w:t>
            </w:r>
            <w:r w:rsidRPr="00AA62F7">
              <w:rPr>
                <w:rFonts w:ascii="Arial" w:hAnsi="Arial" w:cs="Arial"/>
                <w:sz w:val="20"/>
                <w:szCs w:val="20"/>
              </w:rPr>
              <w:t>at</w:t>
            </w:r>
            <w:r w:rsidR="00480A44" w:rsidRPr="00AA62F7">
              <w:rPr>
                <w:rFonts w:ascii="Arial" w:hAnsi="Arial" w:cs="Arial"/>
                <w:sz w:val="20"/>
                <w:szCs w:val="20"/>
              </w:rPr>
              <w:t xml:space="preserve"> screening visit</w:t>
            </w:r>
          </w:p>
          <w:p w14:paraId="2FE03F41" w14:textId="6CBBD96A" w:rsidR="003761B6" w:rsidRPr="00AA62F7" w:rsidRDefault="003761B6" w:rsidP="001A3E2E">
            <w:pPr>
              <w:pStyle w:val="ListParagraph"/>
              <w:numPr>
                <w:ilvl w:val="0"/>
                <w:numId w:val="3"/>
              </w:numPr>
              <w:rPr>
                <w:rFonts w:ascii="Arial" w:hAnsi="Arial" w:cs="Arial"/>
                <w:sz w:val="20"/>
                <w:szCs w:val="20"/>
              </w:rPr>
            </w:pPr>
            <w:r w:rsidRPr="00AA62F7">
              <w:rPr>
                <w:rFonts w:ascii="Arial" w:hAnsi="Arial" w:cs="Arial"/>
                <w:sz w:val="20"/>
                <w:szCs w:val="20"/>
              </w:rPr>
              <w:t>Ability to perform reproducible pulmonary function tests</w:t>
            </w:r>
            <w:r w:rsidR="00480A44" w:rsidRPr="00AA62F7">
              <w:rPr>
                <w:rFonts w:ascii="Arial" w:hAnsi="Arial" w:cs="Arial"/>
                <w:sz w:val="20"/>
                <w:szCs w:val="20"/>
              </w:rPr>
              <w:t>.</w:t>
            </w:r>
          </w:p>
          <w:p w14:paraId="48E7688B" w14:textId="29DD2921" w:rsidR="003761B6" w:rsidRPr="00AA62F7" w:rsidRDefault="003761B6" w:rsidP="001A3E2E">
            <w:pPr>
              <w:pStyle w:val="ListParagraph"/>
              <w:numPr>
                <w:ilvl w:val="0"/>
                <w:numId w:val="3"/>
              </w:numPr>
              <w:rPr>
                <w:rFonts w:ascii="Arial" w:hAnsi="Arial" w:cs="Arial"/>
                <w:sz w:val="20"/>
                <w:szCs w:val="20"/>
              </w:rPr>
            </w:pPr>
            <w:r w:rsidRPr="00AA62F7">
              <w:rPr>
                <w:rFonts w:ascii="Arial" w:hAnsi="Arial" w:cs="Arial"/>
                <w:sz w:val="20"/>
                <w:szCs w:val="20"/>
              </w:rPr>
              <w:t xml:space="preserve">Chest radiograph at </w:t>
            </w:r>
            <w:r w:rsidR="00480A44" w:rsidRPr="00AA62F7">
              <w:rPr>
                <w:rFonts w:ascii="Arial" w:hAnsi="Arial" w:cs="Arial"/>
                <w:sz w:val="20"/>
                <w:szCs w:val="20"/>
              </w:rPr>
              <w:t>screening visit</w:t>
            </w:r>
            <w:r w:rsidRPr="00AA62F7">
              <w:rPr>
                <w:rFonts w:ascii="Arial" w:hAnsi="Arial" w:cs="Arial"/>
                <w:sz w:val="20"/>
                <w:szCs w:val="20"/>
              </w:rPr>
              <w:t xml:space="preserve"> without significant acute findings</w:t>
            </w:r>
            <w:r w:rsidR="00480A44" w:rsidRPr="00AA62F7">
              <w:rPr>
                <w:rFonts w:ascii="Arial" w:hAnsi="Arial" w:cs="Arial"/>
                <w:sz w:val="20"/>
                <w:szCs w:val="20"/>
              </w:rPr>
              <w:t>.</w:t>
            </w:r>
          </w:p>
          <w:p w14:paraId="70A284B8" w14:textId="77777777" w:rsidR="003761B6" w:rsidRPr="00AA62F7" w:rsidRDefault="003761B6" w:rsidP="003761B6">
            <w:pPr>
              <w:pStyle w:val="ListParagraph"/>
              <w:ind w:left="360"/>
              <w:rPr>
                <w:rFonts w:ascii="Arial" w:hAnsi="Arial" w:cs="Arial"/>
                <w:sz w:val="20"/>
                <w:szCs w:val="20"/>
              </w:rPr>
            </w:pPr>
          </w:p>
          <w:p w14:paraId="25CA7A16" w14:textId="331917BF" w:rsidR="003761B6" w:rsidRPr="00AA62F7" w:rsidRDefault="003761B6" w:rsidP="003761B6">
            <w:pPr>
              <w:rPr>
                <w:rFonts w:ascii="Arial" w:hAnsi="Arial" w:cs="Arial"/>
                <w:sz w:val="20"/>
                <w:szCs w:val="20"/>
              </w:rPr>
            </w:pPr>
            <w:r w:rsidRPr="00AA62F7">
              <w:rPr>
                <w:rFonts w:ascii="Arial" w:hAnsi="Arial" w:cs="Arial"/>
                <w:sz w:val="20"/>
                <w:szCs w:val="20"/>
              </w:rPr>
              <w:t xml:space="preserve">Exclusion </w:t>
            </w:r>
            <w:r w:rsidR="00AE37EC">
              <w:rPr>
                <w:rFonts w:ascii="Arial" w:hAnsi="Arial" w:cs="Arial"/>
                <w:sz w:val="20"/>
                <w:szCs w:val="20"/>
              </w:rPr>
              <w:t>c</w:t>
            </w:r>
            <w:r w:rsidRPr="00AA62F7">
              <w:rPr>
                <w:rFonts w:ascii="Arial" w:hAnsi="Arial" w:cs="Arial"/>
                <w:sz w:val="20"/>
                <w:szCs w:val="20"/>
              </w:rPr>
              <w:t>riteria</w:t>
            </w:r>
            <w:r w:rsidR="00AE37EC">
              <w:rPr>
                <w:rFonts w:ascii="Arial" w:hAnsi="Arial" w:cs="Arial"/>
                <w:sz w:val="20"/>
                <w:szCs w:val="20"/>
              </w:rPr>
              <w:t>:</w:t>
            </w:r>
          </w:p>
          <w:p w14:paraId="63BA5F8D" w14:textId="247F9255" w:rsidR="003761B6" w:rsidRPr="00AA62F7" w:rsidRDefault="003761B6" w:rsidP="001A3E2E">
            <w:pPr>
              <w:pStyle w:val="ListParagraph"/>
              <w:numPr>
                <w:ilvl w:val="0"/>
                <w:numId w:val="2"/>
              </w:numPr>
              <w:rPr>
                <w:rFonts w:ascii="Arial" w:hAnsi="Arial" w:cs="Arial"/>
                <w:sz w:val="20"/>
                <w:szCs w:val="20"/>
              </w:rPr>
            </w:pPr>
            <w:r w:rsidRPr="00AA62F7">
              <w:rPr>
                <w:rFonts w:ascii="Arial" w:hAnsi="Arial" w:cs="Arial"/>
                <w:sz w:val="20"/>
                <w:szCs w:val="20"/>
              </w:rPr>
              <w:t>Current use of oral corticosteroids in doses exceeding the equivalent of 10mg prednisone a day or 20mg prednisone every other day</w:t>
            </w:r>
            <w:r w:rsidR="00480A44" w:rsidRPr="00AA62F7">
              <w:rPr>
                <w:rFonts w:ascii="Arial" w:hAnsi="Arial" w:cs="Arial"/>
                <w:sz w:val="20"/>
                <w:szCs w:val="20"/>
              </w:rPr>
              <w:t>.</w:t>
            </w:r>
          </w:p>
          <w:p w14:paraId="7FF0A1F3" w14:textId="44EE3A4D" w:rsidR="003761B6" w:rsidRPr="00AA62F7" w:rsidRDefault="003761B6" w:rsidP="001A3E2E">
            <w:pPr>
              <w:pStyle w:val="ListParagraph"/>
              <w:numPr>
                <w:ilvl w:val="0"/>
                <w:numId w:val="2"/>
              </w:numPr>
              <w:rPr>
                <w:rFonts w:ascii="Arial" w:hAnsi="Arial" w:cs="Arial"/>
                <w:sz w:val="20"/>
                <w:szCs w:val="20"/>
              </w:rPr>
            </w:pPr>
            <w:r w:rsidRPr="00AA62F7">
              <w:rPr>
                <w:rFonts w:ascii="Arial" w:hAnsi="Arial" w:cs="Arial"/>
                <w:sz w:val="20"/>
                <w:szCs w:val="20"/>
              </w:rPr>
              <w:t xml:space="preserve">History of sputum or throat swab culture yielding </w:t>
            </w:r>
            <w:r w:rsidRPr="00B066BD">
              <w:rPr>
                <w:rFonts w:ascii="Arial" w:hAnsi="Arial" w:cs="Arial"/>
                <w:i/>
                <w:iCs/>
                <w:sz w:val="20"/>
                <w:szCs w:val="20"/>
              </w:rPr>
              <w:t>B</w:t>
            </w:r>
            <w:r w:rsidR="00C8554B">
              <w:rPr>
                <w:rFonts w:ascii="Arial" w:hAnsi="Arial" w:cs="Arial"/>
                <w:i/>
                <w:iCs/>
                <w:sz w:val="20"/>
                <w:szCs w:val="20"/>
              </w:rPr>
              <w:t>u</w:t>
            </w:r>
            <w:r w:rsidR="00234278">
              <w:rPr>
                <w:rFonts w:ascii="Arial" w:hAnsi="Arial" w:cs="Arial"/>
                <w:i/>
                <w:iCs/>
                <w:sz w:val="20"/>
                <w:szCs w:val="20"/>
              </w:rPr>
              <w:t>r</w:t>
            </w:r>
            <w:r w:rsidR="00C8554B">
              <w:rPr>
                <w:rFonts w:ascii="Arial" w:hAnsi="Arial" w:cs="Arial"/>
                <w:i/>
                <w:iCs/>
                <w:sz w:val="20"/>
                <w:szCs w:val="20"/>
              </w:rPr>
              <w:t>kholderia</w:t>
            </w:r>
            <w:r w:rsidRPr="00B066BD">
              <w:rPr>
                <w:rFonts w:ascii="Arial" w:hAnsi="Arial" w:cs="Arial"/>
                <w:i/>
                <w:iCs/>
                <w:sz w:val="20"/>
                <w:szCs w:val="20"/>
              </w:rPr>
              <w:t xml:space="preserve"> cepacia</w:t>
            </w:r>
            <w:r w:rsidRPr="00AA62F7">
              <w:rPr>
                <w:rFonts w:ascii="Arial" w:hAnsi="Arial" w:cs="Arial"/>
                <w:sz w:val="20"/>
                <w:szCs w:val="20"/>
              </w:rPr>
              <w:t xml:space="preserve"> in the previous 2 years</w:t>
            </w:r>
            <w:r w:rsidR="00480A44" w:rsidRPr="00AA62F7">
              <w:rPr>
                <w:rFonts w:ascii="Arial" w:hAnsi="Arial" w:cs="Arial"/>
                <w:sz w:val="20"/>
                <w:szCs w:val="20"/>
              </w:rPr>
              <w:t>.</w:t>
            </w:r>
          </w:p>
          <w:p w14:paraId="4D81DF89" w14:textId="03DC8DD5" w:rsidR="003761B6" w:rsidRPr="00AA62F7" w:rsidRDefault="003761B6" w:rsidP="001A3E2E">
            <w:pPr>
              <w:pStyle w:val="ListParagraph"/>
              <w:numPr>
                <w:ilvl w:val="0"/>
                <w:numId w:val="2"/>
              </w:numPr>
              <w:rPr>
                <w:rFonts w:ascii="Arial" w:hAnsi="Arial" w:cs="Arial"/>
                <w:sz w:val="20"/>
                <w:szCs w:val="20"/>
              </w:rPr>
            </w:pPr>
            <w:r w:rsidRPr="00AA62F7">
              <w:rPr>
                <w:rFonts w:ascii="Arial" w:hAnsi="Arial" w:cs="Arial"/>
                <w:sz w:val="20"/>
                <w:szCs w:val="20"/>
              </w:rPr>
              <w:t>Current requirement for daily continuous oxygen supplementation or requirement for more than 2 L/minute at night</w:t>
            </w:r>
            <w:r w:rsidR="00480A44" w:rsidRPr="00AA62F7">
              <w:rPr>
                <w:rFonts w:ascii="Arial" w:hAnsi="Arial" w:cs="Arial"/>
                <w:sz w:val="20"/>
                <w:szCs w:val="20"/>
              </w:rPr>
              <w:t>.</w:t>
            </w:r>
          </w:p>
          <w:p w14:paraId="0A697924" w14:textId="78BD2E4A" w:rsidR="003761B6" w:rsidRPr="00AA62F7" w:rsidRDefault="003761B6" w:rsidP="001A3E2E">
            <w:pPr>
              <w:pStyle w:val="ListParagraph"/>
              <w:numPr>
                <w:ilvl w:val="0"/>
                <w:numId w:val="2"/>
              </w:numPr>
              <w:rPr>
                <w:rFonts w:ascii="Arial" w:hAnsi="Arial" w:cs="Arial"/>
                <w:sz w:val="20"/>
                <w:szCs w:val="20"/>
              </w:rPr>
            </w:pPr>
            <w:r w:rsidRPr="00AA62F7">
              <w:rPr>
                <w:rFonts w:ascii="Arial" w:hAnsi="Arial" w:cs="Arial"/>
                <w:sz w:val="20"/>
                <w:szCs w:val="20"/>
              </w:rPr>
              <w:t xml:space="preserve">Administration of any investigational drug or device within 28 days </w:t>
            </w:r>
            <w:r w:rsidR="00480A44" w:rsidRPr="00AA62F7">
              <w:rPr>
                <w:rFonts w:ascii="Arial" w:hAnsi="Arial" w:cs="Arial"/>
                <w:sz w:val="20"/>
                <w:szCs w:val="20"/>
              </w:rPr>
              <w:t xml:space="preserve">of screening visit </w:t>
            </w:r>
            <w:r w:rsidRPr="00AA62F7">
              <w:rPr>
                <w:rFonts w:ascii="Arial" w:hAnsi="Arial" w:cs="Arial"/>
                <w:sz w:val="20"/>
                <w:szCs w:val="20"/>
              </w:rPr>
              <w:t>or within 6 half-lives of the investigational drug (whichever is longer)</w:t>
            </w:r>
            <w:r w:rsidR="00480A44" w:rsidRPr="00AA62F7">
              <w:rPr>
                <w:rFonts w:ascii="Arial" w:hAnsi="Arial" w:cs="Arial"/>
                <w:sz w:val="20"/>
                <w:szCs w:val="20"/>
              </w:rPr>
              <w:t>.</w:t>
            </w:r>
          </w:p>
          <w:p w14:paraId="0B5922E9" w14:textId="0CA5B39D" w:rsidR="003761B6" w:rsidRPr="00AA62F7" w:rsidRDefault="003761B6" w:rsidP="001A3E2E">
            <w:pPr>
              <w:pStyle w:val="ListParagraph"/>
              <w:numPr>
                <w:ilvl w:val="0"/>
                <w:numId w:val="2"/>
              </w:numPr>
              <w:rPr>
                <w:rFonts w:ascii="Arial" w:hAnsi="Arial" w:cs="Arial"/>
                <w:sz w:val="20"/>
                <w:szCs w:val="20"/>
              </w:rPr>
            </w:pPr>
            <w:r w:rsidRPr="00AA62F7">
              <w:rPr>
                <w:rFonts w:ascii="Arial" w:hAnsi="Arial" w:cs="Arial"/>
                <w:sz w:val="20"/>
                <w:szCs w:val="20"/>
              </w:rPr>
              <w:t>Known local or systemic hypersensitivity to monobactam antibiotics</w:t>
            </w:r>
            <w:r w:rsidR="00480A44" w:rsidRPr="00AA62F7">
              <w:rPr>
                <w:rFonts w:ascii="Arial" w:hAnsi="Arial" w:cs="Arial"/>
                <w:sz w:val="20"/>
                <w:szCs w:val="20"/>
              </w:rPr>
              <w:t>.</w:t>
            </w:r>
          </w:p>
          <w:p w14:paraId="759D0D66" w14:textId="4BE842B6" w:rsidR="003761B6" w:rsidRPr="00AA62F7" w:rsidRDefault="003761B6" w:rsidP="001A3E2E">
            <w:pPr>
              <w:pStyle w:val="ListParagraph"/>
              <w:numPr>
                <w:ilvl w:val="0"/>
                <w:numId w:val="2"/>
              </w:numPr>
              <w:rPr>
                <w:rFonts w:ascii="Arial" w:hAnsi="Arial" w:cs="Arial"/>
                <w:sz w:val="20"/>
                <w:szCs w:val="20"/>
              </w:rPr>
            </w:pPr>
            <w:r w:rsidRPr="00AA62F7">
              <w:rPr>
                <w:rFonts w:ascii="Arial" w:hAnsi="Arial" w:cs="Arial"/>
                <w:sz w:val="20"/>
                <w:szCs w:val="20"/>
              </w:rPr>
              <w:t>Known allergies/intolerance to tobramycin</w:t>
            </w:r>
            <w:r w:rsidR="00480A44" w:rsidRPr="00AA62F7">
              <w:rPr>
                <w:rFonts w:ascii="Arial" w:hAnsi="Arial" w:cs="Arial"/>
                <w:sz w:val="20"/>
                <w:szCs w:val="20"/>
              </w:rPr>
              <w:t>.</w:t>
            </w:r>
          </w:p>
          <w:p w14:paraId="2517EA35" w14:textId="28540E32" w:rsidR="003761B6" w:rsidRPr="00AA62F7" w:rsidRDefault="003761B6" w:rsidP="001A3E2E">
            <w:pPr>
              <w:pStyle w:val="ListParagraph"/>
              <w:numPr>
                <w:ilvl w:val="0"/>
                <w:numId w:val="2"/>
              </w:numPr>
              <w:rPr>
                <w:rFonts w:ascii="Arial" w:hAnsi="Arial" w:cs="Arial"/>
                <w:sz w:val="20"/>
                <w:szCs w:val="20"/>
              </w:rPr>
            </w:pPr>
            <w:r w:rsidRPr="00AA62F7">
              <w:rPr>
                <w:rFonts w:ascii="Arial" w:hAnsi="Arial" w:cs="Arial"/>
                <w:sz w:val="20"/>
                <w:szCs w:val="20"/>
              </w:rPr>
              <w:t>Inability to tolerate inhalation of a short acting beta agonist</w:t>
            </w:r>
            <w:r w:rsidR="00480A44" w:rsidRPr="00AA62F7">
              <w:rPr>
                <w:rFonts w:ascii="Arial" w:hAnsi="Arial" w:cs="Arial"/>
                <w:sz w:val="20"/>
                <w:szCs w:val="20"/>
              </w:rPr>
              <w:t>.</w:t>
            </w:r>
          </w:p>
          <w:p w14:paraId="2180B950" w14:textId="0A05FC39" w:rsidR="003761B6" w:rsidRPr="00AA62F7" w:rsidRDefault="003761B6" w:rsidP="001A3E2E">
            <w:pPr>
              <w:pStyle w:val="ListParagraph"/>
              <w:numPr>
                <w:ilvl w:val="0"/>
                <w:numId w:val="2"/>
              </w:numPr>
              <w:rPr>
                <w:rFonts w:ascii="Arial" w:hAnsi="Arial" w:cs="Arial"/>
                <w:sz w:val="20"/>
                <w:szCs w:val="20"/>
              </w:rPr>
            </w:pPr>
            <w:r w:rsidRPr="00AA62F7">
              <w:rPr>
                <w:rFonts w:ascii="Arial" w:hAnsi="Arial" w:cs="Arial"/>
                <w:sz w:val="20"/>
                <w:szCs w:val="20"/>
              </w:rPr>
              <w:t xml:space="preserve">Changes in or initiation of chronic azithromycin treatment within 28 days prior </w:t>
            </w:r>
            <w:r w:rsidR="00480A44" w:rsidRPr="00AA62F7">
              <w:rPr>
                <w:rFonts w:ascii="Arial" w:hAnsi="Arial" w:cs="Arial"/>
                <w:sz w:val="20"/>
                <w:szCs w:val="20"/>
              </w:rPr>
              <w:t xml:space="preserve">to screening visit. </w:t>
            </w:r>
          </w:p>
          <w:p w14:paraId="62520588" w14:textId="2860505F" w:rsidR="003761B6" w:rsidRPr="00AA62F7" w:rsidRDefault="003761B6" w:rsidP="001A3E2E">
            <w:pPr>
              <w:pStyle w:val="ListParagraph"/>
              <w:numPr>
                <w:ilvl w:val="0"/>
                <w:numId w:val="2"/>
              </w:numPr>
              <w:rPr>
                <w:rFonts w:ascii="Arial" w:hAnsi="Arial" w:cs="Arial"/>
                <w:sz w:val="20"/>
                <w:szCs w:val="20"/>
              </w:rPr>
            </w:pPr>
            <w:r w:rsidRPr="00AA62F7">
              <w:rPr>
                <w:rFonts w:ascii="Arial" w:hAnsi="Arial" w:cs="Arial"/>
                <w:sz w:val="20"/>
                <w:szCs w:val="20"/>
              </w:rPr>
              <w:t xml:space="preserve">Administration of antipseudomonal antibiotics by inhalation, intravenous or oral routes within the 14 days prior to </w:t>
            </w:r>
            <w:r w:rsidR="00480A44" w:rsidRPr="00AA62F7">
              <w:rPr>
                <w:rFonts w:ascii="Arial" w:hAnsi="Arial" w:cs="Arial"/>
                <w:sz w:val="20"/>
                <w:szCs w:val="20"/>
              </w:rPr>
              <w:t>r</w:t>
            </w:r>
            <w:r w:rsidRPr="00AA62F7">
              <w:rPr>
                <w:rFonts w:ascii="Arial" w:hAnsi="Arial" w:cs="Arial"/>
                <w:sz w:val="20"/>
                <w:szCs w:val="20"/>
              </w:rPr>
              <w:t>andomisation</w:t>
            </w:r>
            <w:r w:rsidR="00480A44" w:rsidRPr="00AA62F7">
              <w:rPr>
                <w:rFonts w:ascii="Arial" w:hAnsi="Arial" w:cs="Arial"/>
                <w:sz w:val="20"/>
                <w:szCs w:val="20"/>
              </w:rPr>
              <w:t>.</w:t>
            </w:r>
          </w:p>
          <w:p w14:paraId="7FAB1994" w14:textId="341C58E2" w:rsidR="003761B6" w:rsidRPr="00AA62F7" w:rsidRDefault="003761B6" w:rsidP="001A3E2E">
            <w:pPr>
              <w:pStyle w:val="ListParagraph"/>
              <w:numPr>
                <w:ilvl w:val="0"/>
                <w:numId w:val="2"/>
              </w:numPr>
              <w:rPr>
                <w:rFonts w:ascii="Arial" w:hAnsi="Arial" w:cs="Arial"/>
                <w:sz w:val="20"/>
                <w:szCs w:val="20"/>
              </w:rPr>
            </w:pPr>
            <w:r w:rsidRPr="00AA62F7">
              <w:rPr>
                <w:rFonts w:ascii="Arial" w:hAnsi="Arial" w:cs="Arial"/>
                <w:sz w:val="20"/>
                <w:szCs w:val="20"/>
              </w:rPr>
              <w:t xml:space="preserve">Changes in antimicrobial, bronchodilator, dornase alfa, or corticosteroid medications within 7 days prior </w:t>
            </w:r>
            <w:r w:rsidR="00480A44" w:rsidRPr="00AA62F7">
              <w:rPr>
                <w:rFonts w:ascii="Arial" w:hAnsi="Arial" w:cs="Arial"/>
                <w:sz w:val="20"/>
                <w:szCs w:val="20"/>
              </w:rPr>
              <w:t xml:space="preserve">to screening visit. </w:t>
            </w:r>
          </w:p>
          <w:p w14:paraId="62014789" w14:textId="037F7F0F" w:rsidR="003761B6" w:rsidRPr="00AA62F7" w:rsidRDefault="003761B6" w:rsidP="001A3E2E">
            <w:pPr>
              <w:pStyle w:val="ListParagraph"/>
              <w:numPr>
                <w:ilvl w:val="0"/>
                <w:numId w:val="2"/>
              </w:numPr>
              <w:rPr>
                <w:rFonts w:ascii="Arial" w:hAnsi="Arial" w:cs="Arial"/>
                <w:sz w:val="20"/>
                <w:szCs w:val="20"/>
              </w:rPr>
            </w:pPr>
            <w:r w:rsidRPr="00AA62F7">
              <w:rPr>
                <w:rFonts w:ascii="Arial" w:hAnsi="Arial" w:cs="Arial"/>
                <w:sz w:val="20"/>
                <w:szCs w:val="20"/>
              </w:rPr>
              <w:t xml:space="preserve">Changes in physiotherapy technique or schedule within 7 days prior to </w:t>
            </w:r>
            <w:r w:rsidR="00480A44" w:rsidRPr="00AA62F7">
              <w:rPr>
                <w:rFonts w:ascii="Arial" w:hAnsi="Arial" w:cs="Arial"/>
                <w:sz w:val="20"/>
                <w:szCs w:val="20"/>
              </w:rPr>
              <w:t xml:space="preserve">screening visit. </w:t>
            </w:r>
          </w:p>
          <w:p w14:paraId="66224DE0" w14:textId="4D3A10AE" w:rsidR="003761B6" w:rsidRPr="00AA62F7" w:rsidRDefault="003761B6" w:rsidP="001A3E2E">
            <w:pPr>
              <w:pStyle w:val="ListParagraph"/>
              <w:numPr>
                <w:ilvl w:val="0"/>
                <w:numId w:val="2"/>
              </w:numPr>
              <w:rPr>
                <w:rFonts w:ascii="Arial" w:hAnsi="Arial" w:cs="Arial"/>
                <w:sz w:val="20"/>
                <w:szCs w:val="20"/>
              </w:rPr>
            </w:pPr>
            <w:r w:rsidRPr="00AA62F7">
              <w:rPr>
                <w:rFonts w:ascii="Arial" w:hAnsi="Arial" w:cs="Arial"/>
                <w:sz w:val="20"/>
                <w:szCs w:val="20"/>
              </w:rPr>
              <w:t>History of lung transplantation</w:t>
            </w:r>
            <w:r w:rsidR="00480A44" w:rsidRPr="00AA62F7">
              <w:rPr>
                <w:rFonts w:ascii="Arial" w:hAnsi="Arial" w:cs="Arial"/>
                <w:sz w:val="20"/>
                <w:szCs w:val="20"/>
              </w:rPr>
              <w:t>.</w:t>
            </w:r>
            <w:r w:rsidRPr="00AA62F7">
              <w:rPr>
                <w:rFonts w:ascii="Arial" w:hAnsi="Arial" w:cs="Arial"/>
                <w:sz w:val="20"/>
                <w:szCs w:val="20"/>
              </w:rPr>
              <w:t xml:space="preserve"> </w:t>
            </w:r>
          </w:p>
          <w:p w14:paraId="4D1274EC" w14:textId="60BEAE84" w:rsidR="003761B6" w:rsidRPr="00AA62F7" w:rsidRDefault="003761B6" w:rsidP="001A3E2E">
            <w:pPr>
              <w:pStyle w:val="ListParagraph"/>
              <w:numPr>
                <w:ilvl w:val="0"/>
                <w:numId w:val="2"/>
              </w:numPr>
              <w:rPr>
                <w:rFonts w:ascii="Arial" w:hAnsi="Arial" w:cs="Arial"/>
                <w:sz w:val="20"/>
                <w:szCs w:val="20"/>
              </w:rPr>
            </w:pPr>
            <w:r w:rsidRPr="00AA62F7">
              <w:rPr>
                <w:rFonts w:ascii="Arial" w:hAnsi="Arial" w:cs="Arial"/>
                <w:sz w:val="20"/>
                <w:szCs w:val="20"/>
              </w:rPr>
              <w:lastRenderedPageBreak/>
              <w:t xml:space="preserve">Abnormal renal or hepatic function or serum chemistry at </w:t>
            </w:r>
            <w:r w:rsidR="00480A44" w:rsidRPr="00AA62F7">
              <w:rPr>
                <w:rFonts w:ascii="Arial" w:hAnsi="Arial" w:cs="Arial"/>
                <w:sz w:val="20"/>
                <w:szCs w:val="20"/>
              </w:rPr>
              <w:t>screening visit</w:t>
            </w:r>
            <w:r w:rsidRPr="00AA62F7">
              <w:rPr>
                <w:rFonts w:ascii="Arial" w:hAnsi="Arial" w:cs="Arial"/>
                <w:sz w:val="20"/>
                <w:szCs w:val="20"/>
              </w:rPr>
              <w:t>, defined as aspartate aminotransferase (AST), alanine aminotransferase (ALT)&gt;5 times upper limit of normal range (ULN) or creatinine &gt; 2times ULN</w:t>
            </w:r>
            <w:r w:rsidR="00A967AB" w:rsidRPr="00AA62F7">
              <w:rPr>
                <w:rFonts w:ascii="Arial" w:hAnsi="Arial" w:cs="Arial"/>
                <w:sz w:val="20"/>
                <w:szCs w:val="20"/>
              </w:rPr>
              <w:t>.</w:t>
            </w:r>
          </w:p>
          <w:p w14:paraId="581C66D0" w14:textId="0080770B" w:rsidR="003761B6" w:rsidRPr="00AA62F7" w:rsidRDefault="003761B6" w:rsidP="001A3E2E">
            <w:pPr>
              <w:pStyle w:val="ListParagraph"/>
              <w:numPr>
                <w:ilvl w:val="0"/>
                <w:numId w:val="2"/>
              </w:numPr>
              <w:rPr>
                <w:rFonts w:ascii="Arial" w:hAnsi="Arial" w:cs="Arial"/>
                <w:sz w:val="20"/>
                <w:szCs w:val="20"/>
              </w:rPr>
            </w:pPr>
            <w:r w:rsidRPr="00AA62F7">
              <w:rPr>
                <w:rFonts w:ascii="Arial" w:hAnsi="Arial" w:cs="Arial"/>
                <w:sz w:val="20"/>
                <w:szCs w:val="20"/>
              </w:rPr>
              <w:t xml:space="preserve">Positive pregnancy test at </w:t>
            </w:r>
            <w:r w:rsidR="00A967AB" w:rsidRPr="00AA62F7">
              <w:rPr>
                <w:rFonts w:ascii="Arial" w:hAnsi="Arial" w:cs="Arial"/>
                <w:sz w:val="20"/>
                <w:szCs w:val="20"/>
              </w:rPr>
              <w:t>screening visit.</w:t>
            </w:r>
          </w:p>
          <w:p w14:paraId="0546DABE" w14:textId="77777777" w:rsidR="00A967AB" w:rsidRPr="00AA62F7" w:rsidRDefault="003761B6" w:rsidP="001A3E2E">
            <w:pPr>
              <w:pStyle w:val="ListParagraph"/>
              <w:numPr>
                <w:ilvl w:val="0"/>
                <w:numId w:val="2"/>
              </w:numPr>
              <w:rPr>
                <w:rFonts w:ascii="Arial" w:hAnsi="Arial" w:cs="Arial"/>
                <w:sz w:val="20"/>
                <w:szCs w:val="20"/>
              </w:rPr>
            </w:pPr>
            <w:r w:rsidRPr="00AA62F7">
              <w:rPr>
                <w:rFonts w:ascii="Arial" w:hAnsi="Arial" w:cs="Arial"/>
                <w:sz w:val="20"/>
                <w:szCs w:val="20"/>
              </w:rPr>
              <w:t>Female of childbearing potential who is lactating or is not (in the opinion of the investigator) practicing an acceptable method of birth control</w:t>
            </w:r>
            <w:r w:rsidR="00A967AB" w:rsidRPr="00AA62F7">
              <w:rPr>
                <w:rFonts w:ascii="Arial" w:hAnsi="Arial" w:cs="Arial"/>
                <w:sz w:val="20"/>
                <w:szCs w:val="20"/>
              </w:rPr>
              <w:t>.</w:t>
            </w:r>
          </w:p>
          <w:p w14:paraId="0E43E0CB" w14:textId="0A425C08" w:rsidR="003761B6" w:rsidRPr="00AA62F7" w:rsidRDefault="003761B6" w:rsidP="001A3E2E">
            <w:pPr>
              <w:pStyle w:val="ListParagraph"/>
              <w:numPr>
                <w:ilvl w:val="0"/>
                <w:numId w:val="2"/>
              </w:numPr>
              <w:rPr>
                <w:rFonts w:ascii="Arial" w:hAnsi="Arial" w:cs="Arial"/>
                <w:sz w:val="20"/>
                <w:szCs w:val="20"/>
              </w:rPr>
            </w:pPr>
            <w:r w:rsidRPr="00AA62F7">
              <w:rPr>
                <w:rFonts w:ascii="Arial" w:hAnsi="Arial" w:cs="Arial"/>
                <w:sz w:val="20"/>
                <w:szCs w:val="20"/>
              </w:rPr>
              <w:t>Any serious or active medical psychiatric illness, which in the opinion of the investigator, would interfere with patient treatment, assessment, or compliance with the protocol</w:t>
            </w:r>
            <w:r w:rsidR="00A967AB" w:rsidRPr="00AA62F7">
              <w:rPr>
                <w:rFonts w:ascii="Arial" w:hAnsi="Arial" w:cs="Arial"/>
                <w:sz w:val="20"/>
                <w:szCs w:val="20"/>
              </w:rPr>
              <w:t>.</w:t>
            </w:r>
          </w:p>
        </w:tc>
        <w:tc>
          <w:tcPr>
            <w:tcW w:w="4508" w:type="dxa"/>
            <w:tcBorders>
              <w:top w:val="single" w:sz="4" w:space="0" w:color="auto"/>
            </w:tcBorders>
          </w:tcPr>
          <w:p w14:paraId="3FB1E410" w14:textId="4F36755D" w:rsidR="003761B6" w:rsidRPr="00AA62F7" w:rsidRDefault="003761B6" w:rsidP="003761B6">
            <w:pPr>
              <w:rPr>
                <w:rFonts w:ascii="Arial" w:hAnsi="Arial" w:cs="Arial"/>
                <w:sz w:val="20"/>
                <w:szCs w:val="20"/>
              </w:rPr>
            </w:pPr>
            <w:r w:rsidRPr="00AA62F7">
              <w:rPr>
                <w:rFonts w:ascii="Arial" w:hAnsi="Arial" w:cs="Arial"/>
                <w:sz w:val="20"/>
                <w:szCs w:val="20"/>
              </w:rPr>
              <w:lastRenderedPageBreak/>
              <w:t xml:space="preserve">Inclusion </w:t>
            </w:r>
            <w:r w:rsidR="00AE37EC">
              <w:rPr>
                <w:rFonts w:ascii="Arial" w:hAnsi="Arial" w:cs="Arial"/>
                <w:sz w:val="20"/>
                <w:szCs w:val="20"/>
              </w:rPr>
              <w:t>c</w:t>
            </w:r>
            <w:r w:rsidRPr="00AA62F7">
              <w:rPr>
                <w:rFonts w:ascii="Arial" w:hAnsi="Arial" w:cs="Arial"/>
                <w:sz w:val="20"/>
                <w:szCs w:val="20"/>
              </w:rPr>
              <w:t>riteria:</w:t>
            </w:r>
          </w:p>
          <w:p w14:paraId="27A7D83B" w14:textId="1E5A8A80" w:rsidR="003761B6" w:rsidRPr="00AA62F7" w:rsidRDefault="003761B6" w:rsidP="001A3E2E">
            <w:pPr>
              <w:pStyle w:val="ListParagraph"/>
              <w:numPr>
                <w:ilvl w:val="0"/>
                <w:numId w:val="4"/>
              </w:numPr>
              <w:rPr>
                <w:rFonts w:ascii="Arial" w:hAnsi="Arial" w:cs="Arial"/>
                <w:sz w:val="20"/>
                <w:szCs w:val="20"/>
              </w:rPr>
            </w:pPr>
            <w:r w:rsidRPr="00AA62F7">
              <w:rPr>
                <w:rFonts w:ascii="Arial" w:hAnsi="Arial" w:cs="Arial"/>
                <w:sz w:val="20"/>
                <w:szCs w:val="20"/>
              </w:rPr>
              <w:t>Males or females aged 6 years and older</w:t>
            </w:r>
            <w:r w:rsidR="00E4381A" w:rsidRPr="00AA62F7">
              <w:rPr>
                <w:rFonts w:ascii="Arial" w:hAnsi="Arial" w:cs="Arial"/>
                <w:sz w:val="20"/>
                <w:szCs w:val="20"/>
              </w:rPr>
              <w:t>.</w:t>
            </w:r>
          </w:p>
          <w:p w14:paraId="6D1F05FB" w14:textId="127FFFC8" w:rsidR="003761B6" w:rsidRPr="00AA62F7" w:rsidRDefault="003761B6" w:rsidP="001A3E2E">
            <w:pPr>
              <w:pStyle w:val="ListParagraph"/>
              <w:numPr>
                <w:ilvl w:val="0"/>
                <w:numId w:val="4"/>
              </w:numPr>
              <w:rPr>
                <w:rFonts w:ascii="Arial" w:hAnsi="Arial" w:cs="Arial"/>
                <w:sz w:val="20"/>
                <w:szCs w:val="20"/>
              </w:rPr>
            </w:pPr>
            <w:r w:rsidRPr="00AA62F7">
              <w:rPr>
                <w:rFonts w:ascii="Arial" w:hAnsi="Arial" w:cs="Arial"/>
                <w:sz w:val="20"/>
                <w:szCs w:val="20"/>
              </w:rPr>
              <w:t>NA</w:t>
            </w:r>
            <w:r w:rsidR="00A967AB" w:rsidRPr="00AA62F7">
              <w:rPr>
                <w:rFonts w:ascii="Arial" w:hAnsi="Arial" w:cs="Arial"/>
                <w:sz w:val="20"/>
                <w:szCs w:val="20"/>
              </w:rPr>
              <w:t xml:space="preserve"> - we</w:t>
            </w:r>
            <w:r w:rsidRPr="00AA62F7">
              <w:rPr>
                <w:rFonts w:ascii="Arial" w:hAnsi="Arial" w:cs="Arial"/>
                <w:sz w:val="20"/>
                <w:szCs w:val="20"/>
              </w:rPr>
              <w:t xml:space="preserve"> assume people observed in the UK CF Registry have a CF diagnosis</w:t>
            </w:r>
            <w:r w:rsidR="00E4381A" w:rsidRPr="00AA62F7">
              <w:rPr>
                <w:rFonts w:ascii="Arial" w:hAnsi="Arial" w:cs="Arial"/>
                <w:sz w:val="20"/>
                <w:szCs w:val="20"/>
              </w:rPr>
              <w:t>.</w:t>
            </w:r>
          </w:p>
          <w:p w14:paraId="5A355103" w14:textId="43CFB543" w:rsidR="003761B6" w:rsidRPr="00AA62F7" w:rsidRDefault="003761B6" w:rsidP="001A3E2E">
            <w:pPr>
              <w:pStyle w:val="ListParagraph"/>
              <w:numPr>
                <w:ilvl w:val="0"/>
                <w:numId w:val="4"/>
              </w:numPr>
              <w:rPr>
                <w:rFonts w:ascii="Arial" w:hAnsi="Arial" w:cs="Arial"/>
                <w:sz w:val="20"/>
                <w:szCs w:val="20"/>
              </w:rPr>
            </w:pPr>
            <w:r w:rsidRPr="00AA62F7">
              <w:rPr>
                <w:rFonts w:ascii="Arial" w:hAnsi="Arial" w:cs="Arial"/>
                <w:sz w:val="20"/>
                <w:szCs w:val="20"/>
              </w:rPr>
              <w:t xml:space="preserve">Record of </w:t>
            </w:r>
            <w:r w:rsidR="00966CFE" w:rsidRPr="00B066BD">
              <w:rPr>
                <w:rFonts w:ascii="Arial" w:hAnsi="Arial" w:cs="Arial"/>
                <w:i/>
                <w:iCs/>
                <w:sz w:val="20"/>
                <w:szCs w:val="20"/>
              </w:rPr>
              <w:t>Pseudomonas aeruginosa</w:t>
            </w:r>
            <w:r w:rsidR="00A967AB" w:rsidRPr="00AA62F7">
              <w:rPr>
                <w:rFonts w:ascii="Arial" w:hAnsi="Arial" w:cs="Arial"/>
                <w:i/>
                <w:iCs/>
                <w:sz w:val="20"/>
                <w:szCs w:val="20"/>
              </w:rPr>
              <w:t xml:space="preserve"> </w:t>
            </w:r>
            <w:r w:rsidRPr="00AA62F7">
              <w:rPr>
                <w:rFonts w:ascii="Arial" w:hAnsi="Arial" w:cs="Arial"/>
                <w:sz w:val="20"/>
                <w:szCs w:val="20"/>
              </w:rPr>
              <w:t>growth</w:t>
            </w:r>
            <w:r w:rsidR="00A967AB" w:rsidRPr="00AA62F7">
              <w:rPr>
                <w:rFonts w:ascii="Arial" w:hAnsi="Arial" w:cs="Arial"/>
                <w:sz w:val="20"/>
                <w:szCs w:val="20"/>
              </w:rPr>
              <w:t xml:space="preserve"> at </w:t>
            </w:r>
            <w:r w:rsidR="004D4723">
              <w:rPr>
                <w:rFonts w:ascii="Arial" w:hAnsi="Arial" w:cs="Arial"/>
                <w:sz w:val="20"/>
                <w:szCs w:val="20"/>
              </w:rPr>
              <w:t xml:space="preserve">index visit. </w:t>
            </w:r>
          </w:p>
          <w:p w14:paraId="4A71D068" w14:textId="25268337" w:rsidR="003761B6" w:rsidRPr="00AA62F7" w:rsidRDefault="003761B6" w:rsidP="001A3E2E">
            <w:pPr>
              <w:pStyle w:val="ListParagraph"/>
              <w:numPr>
                <w:ilvl w:val="0"/>
                <w:numId w:val="4"/>
              </w:numPr>
              <w:rPr>
                <w:rFonts w:ascii="Arial" w:hAnsi="Arial" w:cs="Arial"/>
                <w:sz w:val="20"/>
                <w:szCs w:val="20"/>
              </w:rPr>
            </w:pPr>
            <w:r w:rsidRPr="00AA62F7">
              <w:rPr>
                <w:rFonts w:ascii="Arial" w:hAnsi="Arial" w:cs="Arial"/>
                <w:sz w:val="20"/>
                <w:szCs w:val="20"/>
              </w:rPr>
              <w:t>NA</w:t>
            </w:r>
            <w:r w:rsidR="00E4381A" w:rsidRPr="00AA62F7">
              <w:rPr>
                <w:rFonts w:ascii="Arial" w:hAnsi="Arial" w:cs="Arial"/>
                <w:sz w:val="20"/>
                <w:szCs w:val="20"/>
              </w:rPr>
              <w:t>.</w:t>
            </w:r>
            <w:r w:rsidRPr="00AA62F7">
              <w:rPr>
                <w:rFonts w:ascii="Arial" w:hAnsi="Arial" w:cs="Arial"/>
                <w:sz w:val="20"/>
                <w:szCs w:val="20"/>
              </w:rPr>
              <w:t xml:space="preserve"> </w:t>
            </w:r>
            <w:r w:rsidR="00396E23" w:rsidRPr="00AA62F7">
              <w:rPr>
                <w:rFonts w:ascii="Arial" w:hAnsi="Arial" w:cs="Arial"/>
                <w:sz w:val="20"/>
                <w:szCs w:val="20"/>
              </w:rPr>
              <w:t xml:space="preserve">Patient consent is given prior to entering the registry. </w:t>
            </w:r>
          </w:p>
          <w:p w14:paraId="0B550A57" w14:textId="70C55032" w:rsidR="003761B6" w:rsidRPr="00AA62F7" w:rsidRDefault="003761B6" w:rsidP="001A3E2E">
            <w:pPr>
              <w:pStyle w:val="ListParagraph"/>
              <w:numPr>
                <w:ilvl w:val="0"/>
                <w:numId w:val="4"/>
              </w:numPr>
              <w:rPr>
                <w:rFonts w:ascii="Arial" w:hAnsi="Arial" w:cs="Arial"/>
                <w:sz w:val="20"/>
                <w:szCs w:val="20"/>
              </w:rPr>
            </w:pPr>
            <w:r w:rsidRPr="00AA62F7">
              <w:rPr>
                <w:rFonts w:ascii="Arial" w:hAnsi="Arial" w:cs="Arial"/>
                <w:sz w:val="20"/>
                <w:szCs w:val="20"/>
              </w:rPr>
              <w:t>No record of intolerance to inhaled antibiotics</w:t>
            </w:r>
            <w:r w:rsidR="00284DD8">
              <w:rPr>
                <w:rFonts w:ascii="Arial" w:hAnsi="Arial" w:cs="Arial"/>
                <w:sz w:val="20"/>
                <w:szCs w:val="20"/>
              </w:rPr>
              <w:t xml:space="preserve"> and a</w:t>
            </w:r>
            <w:r w:rsidR="006A6E3B">
              <w:rPr>
                <w:rFonts w:ascii="Arial" w:hAnsi="Arial" w:cs="Arial"/>
                <w:sz w:val="20"/>
                <w:szCs w:val="20"/>
              </w:rPr>
              <w:t xml:space="preserve">ny </w:t>
            </w:r>
            <w:r w:rsidR="00284DD8">
              <w:rPr>
                <w:rFonts w:ascii="Arial" w:hAnsi="Arial" w:cs="Arial"/>
                <w:sz w:val="20"/>
                <w:szCs w:val="20"/>
              </w:rPr>
              <w:t xml:space="preserve">previous record of inhaled antibiotics use. </w:t>
            </w:r>
          </w:p>
          <w:p w14:paraId="587A55F0" w14:textId="09E4E89A" w:rsidR="003761B6" w:rsidRPr="00AA62F7" w:rsidRDefault="003761B6" w:rsidP="001A3E2E">
            <w:pPr>
              <w:pStyle w:val="ListParagraph"/>
              <w:numPr>
                <w:ilvl w:val="0"/>
                <w:numId w:val="4"/>
              </w:numPr>
              <w:rPr>
                <w:rFonts w:ascii="Arial" w:hAnsi="Arial" w:cs="Arial"/>
                <w:sz w:val="20"/>
                <w:szCs w:val="20"/>
              </w:rPr>
            </w:pPr>
            <w:r w:rsidRPr="00AA62F7">
              <w:rPr>
                <w:rFonts w:ascii="Arial" w:hAnsi="Arial" w:cs="Arial"/>
                <w:sz w:val="20"/>
                <w:szCs w:val="20"/>
              </w:rPr>
              <w:t>FEV</w:t>
            </w:r>
            <w:r w:rsidRPr="00AA62F7">
              <w:rPr>
                <w:rFonts w:ascii="Arial" w:hAnsi="Arial" w:cs="Arial"/>
                <w:sz w:val="20"/>
                <w:szCs w:val="20"/>
                <w:vertAlign w:val="subscript"/>
              </w:rPr>
              <w:t>1</w:t>
            </w:r>
            <w:r w:rsidRPr="00AA62F7">
              <w:rPr>
                <w:rFonts w:ascii="Arial" w:hAnsi="Arial" w:cs="Arial"/>
                <w:sz w:val="20"/>
                <w:szCs w:val="20"/>
              </w:rPr>
              <w:t xml:space="preserve">% </w:t>
            </w:r>
            <w:r w:rsidRPr="00966CFE">
              <w:rPr>
                <w:rFonts w:ascii="Arial" w:hAnsi="Arial" w:cs="Arial"/>
                <w:sz w:val="20"/>
                <w:szCs w:val="20"/>
                <w:u w:val="single"/>
              </w:rPr>
              <w:t>&lt;</w:t>
            </w:r>
            <w:r w:rsidRPr="00AA62F7">
              <w:rPr>
                <w:rFonts w:ascii="Arial" w:hAnsi="Arial" w:cs="Arial"/>
                <w:sz w:val="20"/>
                <w:szCs w:val="20"/>
              </w:rPr>
              <w:t>75%</w:t>
            </w:r>
            <w:r w:rsidR="004D4723">
              <w:rPr>
                <w:rFonts w:ascii="Arial" w:hAnsi="Arial" w:cs="Arial"/>
                <w:sz w:val="20"/>
                <w:szCs w:val="20"/>
              </w:rPr>
              <w:t xml:space="preserve"> </w:t>
            </w:r>
            <w:r w:rsidR="001F1E6C">
              <w:rPr>
                <w:rFonts w:ascii="Arial" w:hAnsi="Arial" w:cs="Arial"/>
                <w:sz w:val="20"/>
                <w:szCs w:val="20"/>
              </w:rPr>
              <w:t xml:space="preserve">predicted </w:t>
            </w:r>
            <w:r w:rsidR="004D4723">
              <w:rPr>
                <w:rFonts w:ascii="Arial" w:hAnsi="Arial" w:cs="Arial"/>
                <w:sz w:val="20"/>
                <w:szCs w:val="20"/>
              </w:rPr>
              <w:t>at index visit,</w:t>
            </w:r>
          </w:p>
          <w:p w14:paraId="683FCA14" w14:textId="6A11F989" w:rsidR="003761B6" w:rsidRPr="00AA62F7" w:rsidRDefault="00300881" w:rsidP="001A3E2E">
            <w:pPr>
              <w:pStyle w:val="ListParagraph"/>
              <w:numPr>
                <w:ilvl w:val="0"/>
                <w:numId w:val="4"/>
              </w:numPr>
              <w:rPr>
                <w:rFonts w:ascii="Arial" w:hAnsi="Arial" w:cs="Arial"/>
                <w:sz w:val="20"/>
                <w:szCs w:val="20"/>
              </w:rPr>
            </w:pPr>
            <w:r w:rsidRPr="00AA62F7">
              <w:rPr>
                <w:rFonts w:ascii="Arial" w:hAnsi="Arial" w:cs="Arial"/>
                <w:sz w:val="20"/>
                <w:szCs w:val="20"/>
              </w:rPr>
              <w:t>A</w:t>
            </w:r>
            <w:r w:rsidR="003761B6" w:rsidRPr="00AA62F7">
              <w:rPr>
                <w:rFonts w:ascii="Arial" w:hAnsi="Arial" w:cs="Arial"/>
                <w:sz w:val="20"/>
                <w:szCs w:val="20"/>
              </w:rPr>
              <w:t>ny previous record of FEV</w:t>
            </w:r>
            <w:r w:rsidR="003761B6" w:rsidRPr="00AA62F7">
              <w:rPr>
                <w:rFonts w:ascii="Arial" w:hAnsi="Arial" w:cs="Arial"/>
                <w:sz w:val="20"/>
                <w:szCs w:val="20"/>
                <w:vertAlign w:val="subscript"/>
              </w:rPr>
              <w:t>1</w:t>
            </w:r>
            <w:r w:rsidR="003761B6" w:rsidRPr="00AA62F7">
              <w:rPr>
                <w:rFonts w:ascii="Arial" w:hAnsi="Arial" w:cs="Arial"/>
                <w:sz w:val="20"/>
                <w:szCs w:val="20"/>
              </w:rPr>
              <w:t xml:space="preserve">% </w:t>
            </w:r>
            <w:r w:rsidRPr="00AA62F7">
              <w:rPr>
                <w:rFonts w:ascii="Arial" w:hAnsi="Arial" w:cs="Arial"/>
                <w:sz w:val="20"/>
                <w:szCs w:val="20"/>
              </w:rPr>
              <w:t xml:space="preserve">(this </w:t>
            </w:r>
            <w:r w:rsidR="003761B6" w:rsidRPr="00AA62F7">
              <w:rPr>
                <w:rFonts w:ascii="Arial" w:hAnsi="Arial" w:cs="Arial"/>
                <w:sz w:val="20"/>
                <w:szCs w:val="20"/>
              </w:rPr>
              <w:t>indicates ability to perform these tests</w:t>
            </w:r>
            <w:r w:rsidRPr="00AA62F7">
              <w:rPr>
                <w:rFonts w:ascii="Arial" w:hAnsi="Arial" w:cs="Arial"/>
                <w:sz w:val="20"/>
                <w:szCs w:val="20"/>
              </w:rPr>
              <w:t>).</w:t>
            </w:r>
          </w:p>
          <w:p w14:paraId="72383EB3" w14:textId="7C251420" w:rsidR="003761B6" w:rsidRPr="00AA62F7" w:rsidRDefault="003761B6" w:rsidP="001A3E2E">
            <w:pPr>
              <w:pStyle w:val="ListParagraph"/>
              <w:numPr>
                <w:ilvl w:val="0"/>
                <w:numId w:val="4"/>
              </w:numPr>
              <w:rPr>
                <w:rFonts w:ascii="Arial" w:hAnsi="Arial" w:cs="Arial"/>
                <w:sz w:val="20"/>
                <w:szCs w:val="20"/>
              </w:rPr>
            </w:pPr>
            <w:r w:rsidRPr="00AA62F7">
              <w:rPr>
                <w:rFonts w:ascii="Arial" w:hAnsi="Arial" w:cs="Arial"/>
                <w:sz w:val="20"/>
                <w:szCs w:val="20"/>
              </w:rPr>
              <w:t>Unable to emulation this criterion</w:t>
            </w:r>
            <w:r w:rsidR="00E4381A" w:rsidRPr="00AA62F7">
              <w:rPr>
                <w:rFonts w:ascii="Arial" w:hAnsi="Arial" w:cs="Arial"/>
                <w:sz w:val="20"/>
                <w:szCs w:val="20"/>
              </w:rPr>
              <w:t>.</w:t>
            </w:r>
            <w:r w:rsidRPr="00AA62F7">
              <w:rPr>
                <w:rFonts w:ascii="Arial" w:hAnsi="Arial" w:cs="Arial"/>
                <w:sz w:val="20"/>
                <w:szCs w:val="20"/>
              </w:rPr>
              <w:t xml:space="preserve"> </w:t>
            </w:r>
          </w:p>
          <w:p w14:paraId="72CA4645" w14:textId="77777777" w:rsidR="003761B6" w:rsidRPr="00AA62F7" w:rsidRDefault="003761B6" w:rsidP="003761B6">
            <w:pPr>
              <w:rPr>
                <w:rFonts w:ascii="Arial" w:hAnsi="Arial" w:cs="Arial"/>
                <w:sz w:val="20"/>
                <w:szCs w:val="20"/>
              </w:rPr>
            </w:pPr>
          </w:p>
          <w:p w14:paraId="04D46483" w14:textId="77777777" w:rsidR="00640F51" w:rsidRPr="00AA62F7" w:rsidRDefault="00640F51" w:rsidP="003761B6">
            <w:pPr>
              <w:rPr>
                <w:rFonts w:ascii="Arial" w:hAnsi="Arial" w:cs="Arial"/>
                <w:sz w:val="20"/>
                <w:szCs w:val="20"/>
              </w:rPr>
            </w:pPr>
          </w:p>
          <w:p w14:paraId="6B27818F" w14:textId="77777777" w:rsidR="00640F51" w:rsidRPr="00AA62F7" w:rsidRDefault="00640F51" w:rsidP="003761B6">
            <w:pPr>
              <w:rPr>
                <w:rFonts w:ascii="Arial" w:hAnsi="Arial" w:cs="Arial"/>
                <w:sz w:val="20"/>
                <w:szCs w:val="20"/>
              </w:rPr>
            </w:pPr>
          </w:p>
          <w:p w14:paraId="1B8DD676" w14:textId="77777777" w:rsidR="008A5D24" w:rsidRPr="00AA62F7" w:rsidRDefault="008A5D24" w:rsidP="003761B6">
            <w:pPr>
              <w:rPr>
                <w:rFonts w:ascii="Arial" w:hAnsi="Arial" w:cs="Arial"/>
                <w:sz w:val="20"/>
                <w:szCs w:val="20"/>
              </w:rPr>
            </w:pPr>
          </w:p>
          <w:p w14:paraId="763816CE" w14:textId="04130794" w:rsidR="003761B6" w:rsidRPr="00AA62F7" w:rsidRDefault="003761B6" w:rsidP="003761B6">
            <w:pPr>
              <w:rPr>
                <w:rFonts w:ascii="Arial" w:hAnsi="Arial" w:cs="Arial"/>
                <w:sz w:val="20"/>
                <w:szCs w:val="20"/>
              </w:rPr>
            </w:pPr>
            <w:r w:rsidRPr="00AA62F7">
              <w:rPr>
                <w:rFonts w:ascii="Arial" w:hAnsi="Arial" w:cs="Arial"/>
                <w:sz w:val="20"/>
                <w:szCs w:val="20"/>
              </w:rPr>
              <w:t xml:space="preserve">Exclusion </w:t>
            </w:r>
            <w:r w:rsidR="00AE37EC">
              <w:rPr>
                <w:rFonts w:ascii="Arial" w:hAnsi="Arial" w:cs="Arial"/>
                <w:sz w:val="20"/>
                <w:szCs w:val="20"/>
              </w:rPr>
              <w:t>c</w:t>
            </w:r>
            <w:r w:rsidRPr="00AA62F7">
              <w:rPr>
                <w:rFonts w:ascii="Arial" w:hAnsi="Arial" w:cs="Arial"/>
                <w:sz w:val="20"/>
                <w:szCs w:val="20"/>
              </w:rPr>
              <w:t>riteria</w:t>
            </w:r>
            <w:r w:rsidR="00AE37EC">
              <w:rPr>
                <w:rFonts w:ascii="Arial" w:hAnsi="Arial" w:cs="Arial"/>
                <w:sz w:val="20"/>
                <w:szCs w:val="20"/>
              </w:rPr>
              <w:t>:</w:t>
            </w:r>
          </w:p>
          <w:p w14:paraId="60CFC43C" w14:textId="030F4B20" w:rsidR="003761B6" w:rsidRPr="00AA62F7" w:rsidRDefault="003761B6" w:rsidP="001A3E2E">
            <w:pPr>
              <w:pStyle w:val="ListParagraph"/>
              <w:numPr>
                <w:ilvl w:val="0"/>
                <w:numId w:val="5"/>
              </w:numPr>
              <w:rPr>
                <w:rFonts w:ascii="Arial" w:hAnsi="Arial" w:cs="Arial"/>
                <w:sz w:val="20"/>
                <w:szCs w:val="20"/>
              </w:rPr>
            </w:pPr>
            <w:r w:rsidRPr="00AA62F7">
              <w:rPr>
                <w:rFonts w:ascii="Arial" w:hAnsi="Arial" w:cs="Arial"/>
                <w:sz w:val="20"/>
                <w:szCs w:val="20"/>
              </w:rPr>
              <w:t>Current prescription of oral corticosteroids</w:t>
            </w:r>
            <w:r w:rsidR="00C57874">
              <w:rPr>
                <w:rFonts w:ascii="Arial" w:hAnsi="Arial" w:cs="Arial"/>
                <w:sz w:val="20"/>
                <w:szCs w:val="20"/>
              </w:rPr>
              <w:t>.</w:t>
            </w:r>
          </w:p>
          <w:p w14:paraId="1DA8251D" w14:textId="78282654" w:rsidR="003761B6" w:rsidRPr="00AA62F7" w:rsidRDefault="003761B6" w:rsidP="001A3E2E">
            <w:pPr>
              <w:pStyle w:val="ListParagraph"/>
              <w:numPr>
                <w:ilvl w:val="0"/>
                <w:numId w:val="5"/>
              </w:numPr>
              <w:rPr>
                <w:rFonts w:ascii="Arial" w:hAnsi="Arial" w:cs="Arial"/>
                <w:sz w:val="20"/>
                <w:szCs w:val="20"/>
              </w:rPr>
            </w:pPr>
            <w:r w:rsidRPr="00AA62F7">
              <w:rPr>
                <w:rFonts w:ascii="Arial" w:hAnsi="Arial" w:cs="Arial"/>
                <w:sz w:val="20"/>
                <w:szCs w:val="20"/>
              </w:rPr>
              <w:t xml:space="preserve">Record of </w:t>
            </w:r>
            <w:r w:rsidRPr="00B066BD">
              <w:rPr>
                <w:rFonts w:ascii="Arial" w:hAnsi="Arial" w:cs="Arial"/>
                <w:i/>
                <w:iCs/>
                <w:sz w:val="20"/>
                <w:szCs w:val="20"/>
              </w:rPr>
              <w:t>B</w:t>
            </w:r>
            <w:r w:rsidR="00234278">
              <w:rPr>
                <w:rFonts w:ascii="Arial" w:hAnsi="Arial" w:cs="Arial"/>
                <w:i/>
                <w:iCs/>
                <w:sz w:val="20"/>
                <w:szCs w:val="20"/>
              </w:rPr>
              <w:t>urkholderia</w:t>
            </w:r>
            <w:r w:rsidRPr="00B066BD">
              <w:rPr>
                <w:rFonts w:ascii="Arial" w:hAnsi="Arial" w:cs="Arial"/>
                <w:i/>
                <w:iCs/>
                <w:sz w:val="20"/>
                <w:szCs w:val="20"/>
              </w:rPr>
              <w:t xml:space="preserve"> cepacia</w:t>
            </w:r>
            <w:r w:rsidRPr="00AA62F7">
              <w:rPr>
                <w:rFonts w:ascii="Arial" w:hAnsi="Arial" w:cs="Arial"/>
                <w:sz w:val="20"/>
                <w:szCs w:val="20"/>
              </w:rPr>
              <w:t xml:space="preserve"> bacterial growth</w:t>
            </w:r>
            <w:r w:rsidR="008A5D24" w:rsidRPr="00AA62F7">
              <w:rPr>
                <w:rFonts w:ascii="Arial" w:hAnsi="Arial" w:cs="Arial"/>
                <w:sz w:val="20"/>
                <w:szCs w:val="20"/>
              </w:rPr>
              <w:t xml:space="preserve"> at</w:t>
            </w:r>
            <w:r w:rsidR="00C57874">
              <w:rPr>
                <w:rFonts w:ascii="Arial" w:hAnsi="Arial" w:cs="Arial"/>
                <w:sz w:val="20"/>
                <w:szCs w:val="20"/>
              </w:rPr>
              <w:t xml:space="preserve"> the index visit, or any annual review</w:t>
            </w:r>
            <w:r w:rsidR="0098313B">
              <w:rPr>
                <w:rFonts w:ascii="Arial" w:hAnsi="Arial" w:cs="Arial"/>
                <w:sz w:val="20"/>
                <w:szCs w:val="20"/>
              </w:rPr>
              <w:t xml:space="preserve"> within 2 years prior to index visit. </w:t>
            </w:r>
          </w:p>
          <w:p w14:paraId="56A491EA" w14:textId="132A82E2" w:rsidR="003761B6" w:rsidRPr="00AA62F7" w:rsidRDefault="003761B6" w:rsidP="001A3E2E">
            <w:pPr>
              <w:pStyle w:val="ListParagraph"/>
              <w:numPr>
                <w:ilvl w:val="0"/>
                <w:numId w:val="5"/>
              </w:numPr>
              <w:rPr>
                <w:rFonts w:ascii="Arial" w:hAnsi="Arial" w:cs="Arial"/>
                <w:sz w:val="20"/>
                <w:szCs w:val="20"/>
              </w:rPr>
            </w:pPr>
            <w:r w:rsidRPr="00AA62F7">
              <w:rPr>
                <w:rFonts w:ascii="Arial" w:hAnsi="Arial" w:cs="Arial"/>
                <w:sz w:val="20"/>
                <w:szCs w:val="20"/>
              </w:rPr>
              <w:t>Currently using continuous oxygen therapy</w:t>
            </w:r>
            <w:r w:rsidR="00797E04" w:rsidRPr="00AA62F7">
              <w:rPr>
                <w:rFonts w:ascii="Arial" w:hAnsi="Arial" w:cs="Arial"/>
                <w:sz w:val="20"/>
                <w:szCs w:val="20"/>
              </w:rPr>
              <w:t>.</w:t>
            </w:r>
          </w:p>
          <w:p w14:paraId="027EA9AF" w14:textId="585898C3" w:rsidR="003761B6" w:rsidRPr="00AA62F7" w:rsidRDefault="003761B6" w:rsidP="001A3E2E">
            <w:pPr>
              <w:pStyle w:val="ListParagraph"/>
              <w:numPr>
                <w:ilvl w:val="0"/>
                <w:numId w:val="5"/>
              </w:numPr>
              <w:rPr>
                <w:rFonts w:ascii="Arial" w:hAnsi="Arial" w:cs="Arial"/>
                <w:sz w:val="20"/>
                <w:szCs w:val="20"/>
              </w:rPr>
            </w:pPr>
            <w:r w:rsidRPr="00AA62F7">
              <w:rPr>
                <w:rFonts w:ascii="Arial" w:hAnsi="Arial" w:cs="Arial"/>
                <w:sz w:val="20"/>
                <w:szCs w:val="20"/>
              </w:rPr>
              <w:t>Unable to emulate this criterion</w:t>
            </w:r>
            <w:r w:rsidR="00E4381A" w:rsidRPr="00AA62F7">
              <w:rPr>
                <w:rFonts w:ascii="Arial" w:hAnsi="Arial" w:cs="Arial"/>
                <w:sz w:val="20"/>
                <w:szCs w:val="20"/>
              </w:rPr>
              <w:t>.</w:t>
            </w:r>
          </w:p>
          <w:p w14:paraId="504052B9" w14:textId="59E962E1" w:rsidR="003761B6" w:rsidRPr="00AA62F7" w:rsidRDefault="003761B6" w:rsidP="001A3E2E">
            <w:pPr>
              <w:pStyle w:val="ListParagraph"/>
              <w:numPr>
                <w:ilvl w:val="0"/>
                <w:numId w:val="5"/>
              </w:numPr>
              <w:rPr>
                <w:rFonts w:ascii="Arial" w:hAnsi="Arial" w:cs="Arial"/>
                <w:sz w:val="20"/>
                <w:szCs w:val="20"/>
              </w:rPr>
            </w:pPr>
            <w:r w:rsidRPr="00AA62F7">
              <w:rPr>
                <w:rFonts w:ascii="Arial" w:hAnsi="Arial" w:cs="Arial"/>
                <w:sz w:val="20"/>
                <w:szCs w:val="20"/>
              </w:rPr>
              <w:t>Unable to emulate this criterion</w:t>
            </w:r>
            <w:r w:rsidR="00E4381A" w:rsidRPr="00AA62F7">
              <w:rPr>
                <w:rFonts w:ascii="Arial" w:hAnsi="Arial" w:cs="Arial"/>
                <w:sz w:val="20"/>
                <w:szCs w:val="20"/>
              </w:rPr>
              <w:t>.</w:t>
            </w:r>
          </w:p>
          <w:p w14:paraId="4EB26D3B" w14:textId="20A0EB9B" w:rsidR="003761B6" w:rsidRPr="00AA62F7" w:rsidRDefault="003761B6" w:rsidP="001A3E2E">
            <w:pPr>
              <w:pStyle w:val="ListParagraph"/>
              <w:numPr>
                <w:ilvl w:val="0"/>
                <w:numId w:val="5"/>
              </w:numPr>
              <w:rPr>
                <w:rFonts w:ascii="Arial" w:hAnsi="Arial" w:cs="Arial"/>
                <w:sz w:val="20"/>
                <w:szCs w:val="20"/>
              </w:rPr>
            </w:pPr>
            <w:r w:rsidRPr="00AA62F7">
              <w:rPr>
                <w:rFonts w:ascii="Arial" w:hAnsi="Arial" w:cs="Arial"/>
                <w:sz w:val="20"/>
                <w:szCs w:val="20"/>
              </w:rPr>
              <w:t>Intolerant to tobramycin</w:t>
            </w:r>
            <w:r w:rsidR="00797E04" w:rsidRPr="00AA62F7">
              <w:rPr>
                <w:rFonts w:ascii="Arial" w:hAnsi="Arial" w:cs="Arial"/>
                <w:sz w:val="20"/>
                <w:szCs w:val="20"/>
              </w:rPr>
              <w:t>.</w:t>
            </w:r>
          </w:p>
          <w:p w14:paraId="2E15621A" w14:textId="69833D1C" w:rsidR="003761B6" w:rsidRPr="00AA62F7" w:rsidRDefault="003761B6" w:rsidP="001A3E2E">
            <w:pPr>
              <w:pStyle w:val="ListParagraph"/>
              <w:numPr>
                <w:ilvl w:val="0"/>
                <w:numId w:val="5"/>
              </w:numPr>
              <w:rPr>
                <w:rFonts w:ascii="Arial" w:hAnsi="Arial" w:cs="Arial"/>
                <w:sz w:val="20"/>
                <w:szCs w:val="20"/>
              </w:rPr>
            </w:pPr>
            <w:r w:rsidRPr="00AA62F7">
              <w:rPr>
                <w:rFonts w:ascii="Arial" w:hAnsi="Arial" w:cs="Arial"/>
                <w:sz w:val="20"/>
                <w:szCs w:val="20"/>
              </w:rPr>
              <w:t>Unable to emulate this criterion</w:t>
            </w:r>
            <w:r w:rsidR="00E4381A" w:rsidRPr="00AA62F7">
              <w:rPr>
                <w:rFonts w:ascii="Arial" w:hAnsi="Arial" w:cs="Arial"/>
                <w:sz w:val="20"/>
                <w:szCs w:val="20"/>
              </w:rPr>
              <w:t>.</w:t>
            </w:r>
          </w:p>
          <w:p w14:paraId="056147FB" w14:textId="66139517" w:rsidR="003761B6" w:rsidRPr="00AA62F7" w:rsidRDefault="003761B6" w:rsidP="001A3E2E">
            <w:pPr>
              <w:pStyle w:val="ListParagraph"/>
              <w:numPr>
                <w:ilvl w:val="0"/>
                <w:numId w:val="5"/>
              </w:numPr>
              <w:rPr>
                <w:rFonts w:ascii="Arial" w:hAnsi="Arial" w:cs="Arial"/>
                <w:sz w:val="20"/>
                <w:szCs w:val="20"/>
              </w:rPr>
            </w:pPr>
            <w:r w:rsidRPr="00AA62F7">
              <w:rPr>
                <w:rFonts w:ascii="Arial" w:hAnsi="Arial" w:cs="Arial"/>
                <w:sz w:val="20"/>
                <w:szCs w:val="20"/>
              </w:rPr>
              <w:t xml:space="preserve">Change in or initiation of chronic azithromycin </w:t>
            </w:r>
            <w:r w:rsidR="00797E04" w:rsidRPr="00AA62F7">
              <w:rPr>
                <w:rFonts w:ascii="Arial" w:hAnsi="Arial" w:cs="Arial"/>
                <w:sz w:val="20"/>
                <w:szCs w:val="20"/>
              </w:rPr>
              <w:t>within 28 days</w:t>
            </w:r>
            <w:r w:rsidR="0098313B">
              <w:rPr>
                <w:rFonts w:ascii="Arial" w:hAnsi="Arial" w:cs="Arial"/>
                <w:sz w:val="20"/>
                <w:szCs w:val="20"/>
              </w:rPr>
              <w:t xml:space="preserve"> prior to index visit. </w:t>
            </w:r>
          </w:p>
          <w:p w14:paraId="00131512" w14:textId="6AF9ABD5" w:rsidR="003761B6" w:rsidRPr="00AA62F7" w:rsidRDefault="003761B6" w:rsidP="001A3E2E">
            <w:pPr>
              <w:pStyle w:val="ListParagraph"/>
              <w:numPr>
                <w:ilvl w:val="0"/>
                <w:numId w:val="5"/>
              </w:numPr>
              <w:rPr>
                <w:rFonts w:ascii="Arial" w:hAnsi="Arial" w:cs="Arial"/>
                <w:sz w:val="20"/>
                <w:szCs w:val="20"/>
              </w:rPr>
            </w:pPr>
            <w:r w:rsidRPr="00AA62F7">
              <w:rPr>
                <w:rFonts w:ascii="Arial" w:hAnsi="Arial" w:cs="Arial"/>
                <w:sz w:val="20"/>
                <w:szCs w:val="20"/>
              </w:rPr>
              <w:t>Prescription of antipseudomonal antibiotics (i.e., colistin, tobramycin, amikacin, aztreonam</w:t>
            </w:r>
            <w:r w:rsidR="00CD13A3">
              <w:rPr>
                <w:rFonts w:ascii="Arial" w:hAnsi="Arial" w:cs="Arial"/>
                <w:sz w:val="20"/>
                <w:szCs w:val="20"/>
              </w:rPr>
              <w:t>, IV antibiotics</w:t>
            </w:r>
            <w:r w:rsidRPr="00AA62F7">
              <w:rPr>
                <w:rFonts w:ascii="Arial" w:hAnsi="Arial" w:cs="Arial"/>
                <w:sz w:val="20"/>
                <w:szCs w:val="20"/>
              </w:rPr>
              <w:t>)</w:t>
            </w:r>
            <w:r w:rsidR="00E4381A" w:rsidRPr="00AA62F7">
              <w:rPr>
                <w:rFonts w:ascii="Arial" w:hAnsi="Arial" w:cs="Arial"/>
                <w:sz w:val="20"/>
                <w:szCs w:val="20"/>
              </w:rPr>
              <w:t>.</w:t>
            </w:r>
            <w:r w:rsidRPr="00AA62F7">
              <w:rPr>
                <w:rFonts w:ascii="Arial" w:hAnsi="Arial" w:cs="Arial"/>
                <w:sz w:val="20"/>
                <w:szCs w:val="20"/>
              </w:rPr>
              <w:t xml:space="preserve"> </w:t>
            </w:r>
          </w:p>
          <w:p w14:paraId="771BFF72" w14:textId="4455CFC9" w:rsidR="003761B6" w:rsidRPr="00AA62F7" w:rsidRDefault="003761B6" w:rsidP="001A3E2E">
            <w:pPr>
              <w:pStyle w:val="ListParagraph"/>
              <w:numPr>
                <w:ilvl w:val="0"/>
                <w:numId w:val="5"/>
              </w:numPr>
              <w:rPr>
                <w:rFonts w:ascii="Arial" w:hAnsi="Arial" w:cs="Arial"/>
                <w:sz w:val="20"/>
                <w:szCs w:val="20"/>
              </w:rPr>
            </w:pPr>
            <w:r w:rsidRPr="00AA62F7">
              <w:rPr>
                <w:rFonts w:ascii="Arial" w:hAnsi="Arial" w:cs="Arial"/>
                <w:sz w:val="20"/>
                <w:szCs w:val="20"/>
              </w:rPr>
              <w:t xml:space="preserve">Changes in </w:t>
            </w:r>
            <w:r w:rsidR="004C5D34">
              <w:rPr>
                <w:rFonts w:ascii="Arial" w:hAnsi="Arial" w:cs="Arial"/>
                <w:sz w:val="20"/>
                <w:szCs w:val="20"/>
              </w:rPr>
              <w:t xml:space="preserve">nebulised antibiotics, azithromycin, </w:t>
            </w:r>
            <w:r w:rsidRPr="00AA62F7">
              <w:rPr>
                <w:rFonts w:ascii="Arial" w:hAnsi="Arial" w:cs="Arial"/>
                <w:sz w:val="20"/>
                <w:szCs w:val="20"/>
              </w:rPr>
              <w:t xml:space="preserve">bronchodilator, dornase alfa, or corticosteroid medications </w:t>
            </w:r>
            <w:r w:rsidR="00B8230C" w:rsidRPr="00AA62F7">
              <w:rPr>
                <w:rFonts w:ascii="Arial" w:hAnsi="Arial" w:cs="Arial"/>
                <w:sz w:val="20"/>
                <w:szCs w:val="20"/>
              </w:rPr>
              <w:t>within 7 days</w:t>
            </w:r>
            <w:r w:rsidR="00DC17EA">
              <w:rPr>
                <w:rFonts w:ascii="Arial" w:hAnsi="Arial" w:cs="Arial"/>
                <w:sz w:val="20"/>
                <w:szCs w:val="20"/>
              </w:rPr>
              <w:t xml:space="preserve"> prior to index visit. </w:t>
            </w:r>
          </w:p>
          <w:p w14:paraId="0823A331" w14:textId="1444E3C9" w:rsidR="003761B6" w:rsidRPr="00AA62F7" w:rsidRDefault="00604123" w:rsidP="001A3E2E">
            <w:pPr>
              <w:pStyle w:val="ListParagraph"/>
              <w:numPr>
                <w:ilvl w:val="0"/>
                <w:numId w:val="5"/>
              </w:numPr>
              <w:rPr>
                <w:rFonts w:ascii="Arial" w:hAnsi="Arial" w:cs="Arial"/>
                <w:sz w:val="20"/>
                <w:szCs w:val="20"/>
              </w:rPr>
            </w:pPr>
            <w:r w:rsidRPr="00AA62F7">
              <w:rPr>
                <w:rFonts w:ascii="Arial" w:hAnsi="Arial" w:cs="Arial"/>
                <w:sz w:val="20"/>
                <w:szCs w:val="20"/>
              </w:rPr>
              <w:t xml:space="preserve">Unable to emulate this criterion as physiotherapy dates are not available. </w:t>
            </w:r>
          </w:p>
          <w:p w14:paraId="5A3849C5" w14:textId="3ADAE8BF" w:rsidR="003761B6" w:rsidRPr="00AA62F7" w:rsidRDefault="003761B6" w:rsidP="001A3E2E">
            <w:pPr>
              <w:pStyle w:val="ListParagraph"/>
              <w:numPr>
                <w:ilvl w:val="0"/>
                <w:numId w:val="5"/>
              </w:numPr>
              <w:rPr>
                <w:rFonts w:ascii="Arial" w:hAnsi="Arial" w:cs="Arial"/>
                <w:sz w:val="20"/>
                <w:szCs w:val="20"/>
              </w:rPr>
            </w:pPr>
            <w:r w:rsidRPr="00AA62F7">
              <w:rPr>
                <w:rFonts w:ascii="Arial" w:hAnsi="Arial" w:cs="Arial"/>
                <w:sz w:val="20"/>
                <w:szCs w:val="20"/>
              </w:rPr>
              <w:t>History of organ transplantation</w:t>
            </w:r>
            <w:r w:rsidR="00604123" w:rsidRPr="00AA62F7">
              <w:rPr>
                <w:rFonts w:ascii="Arial" w:hAnsi="Arial" w:cs="Arial"/>
                <w:sz w:val="20"/>
                <w:szCs w:val="20"/>
              </w:rPr>
              <w:t>.</w:t>
            </w:r>
            <w:r w:rsidRPr="00AA62F7">
              <w:rPr>
                <w:rFonts w:ascii="Arial" w:hAnsi="Arial" w:cs="Arial"/>
                <w:sz w:val="20"/>
                <w:szCs w:val="20"/>
              </w:rPr>
              <w:t xml:space="preserve"> </w:t>
            </w:r>
          </w:p>
          <w:p w14:paraId="3C72E288" w14:textId="1B79A1C7" w:rsidR="003761B6" w:rsidRPr="00AA62F7" w:rsidRDefault="003761B6" w:rsidP="001A3E2E">
            <w:pPr>
              <w:pStyle w:val="ListParagraph"/>
              <w:numPr>
                <w:ilvl w:val="0"/>
                <w:numId w:val="5"/>
              </w:numPr>
              <w:rPr>
                <w:rFonts w:ascii="Arial" w:hAnsi="Arial" w:cs="Arial"/>
                <w:sz w:val="20"/>
                <w:szCs w:val="20"/>
              </w:rPr>
            </w:pPr>
            <w:r w:rsidRPr="00AA62F7">
              <w:rPr>
                <w:rFonts w:ascii="Arial" w:hAnsi="Arial" w:cs="Arial"/>
                <w:sz w:val="20"/>
                <w:szCs w:val="20"/>
              </w:rPr>
              <w:t>Abnormal renal or hepatic function or serum chemistry, defined as AST or ALT &gt; 5 x ULN or serum creatinine &gt; 2 x ULN</w:t>
            </w:r>
          </w:p>
          <w:p w14:paraId="1E695EB0" w14:textId="51D03054" w:rsidR="003761B6" w:rsidRPr="00AA62F7" w:rsidRDefault="003761B6" w:rsidP="001A3E2E">
            <w:pPr>
              <w:pStyle w:val="ListParagraph"/>
              <w:numPr>
                <w:ilvl w:val="0"/>
                <w:numId w:val="5"/>
              </w:numPr>
              <w:rPr>
                <w:rFonts w:ascii="Arial" w:hAnsi="Arial" w:cs="Arial"/>
                <w:sz w:val="20"/>
                <w:szCs w:val="20"/>
              </w:rPr>
            </w:pPr>
            <w:r w:rsidRPr="00AA62F7">
              <w:rPr>
                <w:rFonts w:ascii="Arial" w:hAnsi="Arial" w:cs="Arial"/>
                <w:sz w:val="20"/>
                <w:szCs w:val="20"/>
              </w:rPr>
              <w:t>Individual has record of undelivered pregnancy</w:t>
            </w:r>
            <w:r w:rsidR="00604123" w:rsidRPr="00AA62F7">
              <w:rPr>
                <w:rFonts w:ascii="Arial" w:hAnsi="Arial" w:cs="Arial"/>
                <w:sz w:val="20"/>
                <w:szCs w:val="20"/>
              </w:rPr>
              <w:t>.</w:t>
            </w:r>
          </w:p>
          <w:p w14:paraId="1282438B" w14:textId="77777777" w:rsidR="00604123" w:rsidRPr="00AA62F7" w:rsidRDefault="003761B6" w:rsidP="001A3E2E">
            <w:pPr>
              <w:pStyle w:val="ListParagraph"/>
              <w:numPr>
                <w:ilvl w:val="0"/>
                <w:numId w:val="5"/>
              </w:numPr>
              <w:rPr>
                <w:rFonts w:ascii="Arial" w:hAnsi="Arial" w:cs="Arial"/>
                <w:sz w:val="20"/>
                <w:szCs w:val="20"/>
              </w:rPr>
            </w:pPr>
            <w:r w:rsidRPr="00AA62F7">
              <w:rPr>
                <w:rFonts w:ascii="Arial" w:hAnsi="Arial" w:cs="Arial"/>
                <w:sz w:val="20"/>
                <w:szCs w:val="20"/>
              </w:rPr>
              <w:t>Unable to emulate this criterion</w:t>
            </w:r>
            <w:r w:rsidR="00604123" w:rsidRPr="00AA62F7">
              <w:rPr>
                <w:rFonts w:ascii="Arial" w:hAnsi="Arial" w:cs="Arial"/>
                <w:sz w:val="20"/>
                <w:szCs w:val="20"/>
              </w:rPr>
              <w:t>.</w:t>
            </w:r>
          </w:p>
          <w:p w14:paraId="5D13775A" w14:textId="23BA0A84" w:rsidR="003761B6" w:rsidRPr="00AA62F7" w:rsidRDefault="003761B6" w:rsidP="001A3E2E">
            <w:pPr>
              <w:pStyle w:val="ListParagraph"/>
              <w:numPr>
                <w:ilvl w:val="0"/>
                <w:numId w:val="5"/>
              </w:numPr>
              <w:rPr>
                <w:rFonts w:ascii="Arial" w:hAnsi="Arial" w:cs="Arial"/>
                <w:sz w:val="20"/>
                <w:szCs w:val="20"/>
              </w:rPr>
            </w:pPr>
            <w:r w:rsidRPr="00AA62F7">
              <w:rPr>
                <w:rFonts w:ascii="Arial" w:hAnsi="Arial" w:cs="Arial"/>
                <w:sz w:val="20"/>
                <w:szCs w:val="20"/>
              </w:rPr>
              <w:t>Unable to emulate this criterion</w:t>
            </w:r>
            <w:r w:rsidR="00604123" w:rsidRPr="00AA62F7">
              <w:rPr>
                <w:rFonts w:ascii="Arial" w:hAnsi="Arial" w:cs="Arial"/>
                <w:sz w:val="20"/>
                <w:szCs w:val="20"/>
              </w:rPr>
              <w:t>.</w:t>
            </w:r>
          </w:p>
        </w:tc>
      </w:tr>
    </w:tbl>
    <w:p w14:paraId="732F7247" w14:textId="77777777" w:rsidR="00B035A7" w:rsidRDefault="00B035A7" w:rsidP="00B035A7"/>
    <w:p w14:paraId="3B3A06B9" w14:textId="5FAF2740" w:rsidR="00AD2953" w:rsidRDefault="00121AF5" w:rsidP="00121AF5">
      <w:pPr>
        <w:pStyle w:val="Heading3"/>
      </w:pPr>
      <w:r>
        <w:t xml:space="preserve">4.2.2 </w:t>
      </w:r>
      <w:r w:rsidR="00C92302">
        <w:t>Treatment strategies</w:t>
      </w:r>
    </w:p>
    <w:p w14:paraId="09C97A9E" w14:textId="77777777" w:rsidR="00443D91" w:rsidRPr="00AA62F7" w:rsidRDefault="00C92302" w:rsidP="00443D91">
      <w:pPr>
        <w:rPr>
          <w:rFonts w:ascii="Arial" w:hAnsi="Arial" w:cs="Arial"/>
          <w:sz w:val="20"/>
          <w:szCs w:val="20"/>
        </w:rPr>
      </w:pPr>
      <w:r w:rsidRPr="00AA62F7">
        <w:rPr>
          <w:rFonts w:ascii="Arial" w:hAnsi="Arial" w:cs="Arial"/>
          <w:sz w:val="20"/>
          <w:szCs w:val="20"/>
        </w:rPr>
        <w:t>Target trial 1 compared the following treatment strategies:</w:t>
      </w:r>
      <w:r w:rsidR="00443D91" w:rsidRPr="00AA62F7">
        <w:rPr>
          <w:rFonts w:ascii="Arial" w:hAnsi="Arial" w:cs="Arial"/>
          <w:sz w:val="20"/>
          <w:szCs w:val="20"/>
        </w:rPr>
        <w:t xml:space="preserve"> </w:t>
      </w:r>
    </w:p>
    <w:p w14:paraId="52CB22D4" w14:textId="77777777" w:rsidR="00443D91" w:rsidRPr="00AA62F7" w:rsidRDefault="00443D91" w:rsidP="00443D91">
      <w:pPr>
        <w:rPr>
          <w:rFonts w:ascii="Arial" w:hAnsi="Arial" w:cs="Arial"/>
          <w:sz w:val="20"/>
          <w:szCs w:val="20"/>
        </w:rPr>
      </w:pPr>
      <w:r w:rsidRPr="00AA62F7">
        <w:rPr>
          <w:rFonts w:ascii="Arial" w:hAnsi="Arial" w:cs="Arial"/>
          <w:sz w:val="20"/>
          <w:szCs w:val="20"/>
        </w:rPr>
        <w:t xml:space="preserve">(1) </w:t>
      </w:r>
      <w:r w:rsidR="00C92302" w:rsidRPr="00AA62F7">
        <w:rPr>
          <w:rFonts w:ascii="Arial" w:hAnsi="Arial" w:cs="Arial"/>
          <w:sz w:val="20"/>
          <w:szCs w:val="20"/>
        </w:rPr>
        <w:t xml:space="preserve">Active: </w:t>
      </w:r>
      <w:r w:rsidR="009F2EC2" w:rsidRPr="00AA62F7">
        <w:rPr>
          <w:rFonts w:ascii="Arial" w:hAnsi="Arial" w:cs="Arial"/>
          <w:sz w:val="20"/>
          <w:szCs w:val="20"/>
        </w:rPr>
        <w:t xml:space="preserve">Aztreonam for inhalation solution (AZLI). 75mg is administered 3 times a day for 28 days for each treatment cycle via the PARI eFlow electronic nebulizer. </w:t>
      </w:r>
    </w:p>
    <w:p w14:paraId="745179FE" w14:textId="1DDED165" w:rsidR="00443D91" w:rsidRPr="00AA62F7" w:rsidRDefault="00443D91" w:rsidP="00443D91">
      <w:pPr>
        <w:rPr>
          <w:rFonts w:ascii="Arial" w:hAnsi="Arial" w:cs="Arial"/>
          <w:sz w:val="20"/>
          <w:szCs w:val="20"/>
        </w:rPr>
      </w:pPr>
      <w:r w:rsidRPr="00AA62F7">
        <w:rPr>
          <w:rFonts w:ascii="Arial" w:hAnsi="Arial" w:cs="Arial"/>
          <w:sz w:val="20"/>
          <w:szCs w:val="20"/>
        </w:rPr>
        <w:t>(2) Comparator: Tobramycin inhalation solution (300mg) administered 2 times a day for 28 days for each treatment cycle via the PARI LC Plus nebulizer with compressor or via another nebulizer compatible with country-specified labelling.</w:t>
      </w:r>
    </w:p>
    <w:p w14:paraId="7DC7E586" w14:textId="28DD1E56" w:rsidR="00443D91" w:rsidRPr="00AA62F7" w:rsidRDefault="00443D91" w:rsidP="00443D91">
      <w:pPr>
        <w:rPr>
          <w:rFonts w:ascii="Arial" w:hAnsi="Arial" w:cs="Arial"/>
          <w:sz w:val="20"/>
          <w:szCs w:val="20"/>
        </w:rPr>
      </w:pPr>
      <w:r w:rsidRPr="00AA62F7">
        <w:rPr>
          <w:rFonts w:ascii="Arial" w:hAnsi="Arial" w:cs="Arial"/>
          <w:sz w:val="20"/>
          <w:szCs w:val="20"/>
        </w:rPr>
        <w:t xml:space="preserve">We will emulate these using </w:t>
      </w:r>
      <w:r w:rsidR="007216FA" w:rsidRPr="00AA62F7">
        <w:rPr>
          <w:rFonts w:ascii="Arial" w:hAnsi="Arial" w:cs="Arial"/>
          <w:sz w:val="20"/>
          <w:szCs w:val="20"/>
        </w:rPr>
        <w:t>data on treatment prescription</w:t>
      </w:r>
      <w:r w:rsidR="00EE21F5">
        <w:rPr>
          <w:rFonts w:ascii="Arial" w:hAnsi="Arial" w:cs="Arial"/>
          <w:sz w:val="20"/>
          <w:szCs w:val="20"/>
        </w:rPr>
        <w:t xml:space="preserve"> (either using prescription dates or data from annual reviews)</w:t>
      </w:r>
      <w:r w:rsidR="007216FA" w:rsidRPr="00AA62F7">
        <w:rPr>
          <w:rFonts w:ascii="Arial" w:hAnsi="Arial" w:cs="Arial"/>
          <w:sz w:val="20"/>
          <w:szCs w:val="20"/>
        </w:rPr>
        <w:t xml:space="preserve">. The active group will include people </w:t>
      </w:r>
      <w:r w:rsidR="00701239">
        <w:rPr>
          <w:rFonts w:ascii="Arial" w:hAnsi="Arial" w:cs="Arial"/>
          <w:sz w:val="20"/>
          <w:szCs w:val="20"/>
        </w:rPr>
        <w:t>who are recorded as taking</w:t>
      </w:r>
      <w:r w:rsidR="004413E7">
        <w:rPr>
          <w:rFonts w:ascii="Arial" w:hAnsi="Arial" w:cs="Arial"/>
          <w:sz w:val="20"/>
          <w:szCs w:val="20"/>
        </w:rPr>
        <w:t xml:space="preserve"> </w:t>
      </w:r>
      <w:r w:rsidR="007216FA" w:rsidRPr="00AA62F7">
        <w:rPr>
          <w:rFonts w:ascii="Arial" w:hAnsi="Arial" w:cs="Arial"/>
          <w:sz w:val="20"/>
          <w:szCs w:val="20"/>
        </w:rPr>
        <w:t>aztreonam</w:t>
      </w:r>
      <w:r w:rsidR="004413E7">
        <w:rPr>
          <w:rFonts w:ascii="Arial" w:hAnsi="Arial" w:cs="Arial"/>
          <w:sz w:val="20"/>
          <w:szCs w:val="20"/>
        </w:rPr>
        <w:t xml:space="preserve"> and not tobramycin </w:t>
      </w:r>
      <w:r w:rsidR="007216FA" w:rsidRPr="00AA62F7">
        <w:rPr>
          <w:rFonts w:ascii="Arial" w:hAnsi="Arial" w:cs="Arial"/>
          <w:sz w:val="20"/>
          <w:szCs w:val="20"/>
        </w:rPr>
        <w:t xml:space="preserve">and the comparator group will include people </w:t>
      </w:r>
      <w:r w:rsidR="004413E7">
        <w:rPr>
          <w:rFonts w:ascii="Arial" w:hAnsi="Arial" w:cs="Arial"/>
          <w:sz w:val="20"/>
          <w:szCs w:val="20"/>
        </w:rPr>
        <w:t xml:space="preserve">who are recorded as taking </w:t>
      </w:r>
      <w:r w:rsidR="007216FA" w:rsidRPr="00AA62F7">
        <w:rPr>
          <w:rFonts w:ascii="Arial" w:hAnsi="Arial" w:cs="Arial"/>
          <w:sz w:val="20"/>
          <w:szCs w:val="20"/>
        </w:rPr>
        <w:t>tobramycin</w:t>
      </w:r>
      <w:r w:rsidR="004413E7">
        <w:rPr>
          <w:rFonts w:ascii="Arial" w:hAnsi="Arial" w:cs="Arial"/>
          <w:sz w:val="20"/>
          <w:szCs w:val="20"/>
        </w:rPr>
        <w:t xml:space="preserve"> and not aztreonam</w:t>
      </w:r>
      <w:r w:rsidR="00F03BE0">
        <w:rPr>
          <w:rFonts w:ascii="Arial" w:hAnsi="Arial" w:cs="Arial"/>
          <w:sz w:val="20"/>
          <w:szCs w:val="20"/>
        </w:rPr>
        <w:t>.</w:t>
      </w:r>
    </w:p>
    <w:p w14:paraId="78E2E9B9" w14:textId="18043493" w:rsidR="00CF4DF2" w:rsidRDefault="00121AF5" w:rsidP="00121AF5">
      <w:pPr>
        <w:pStyle w:val="Heading3"/>
      </w:pPr>
      <w:r>
        <w:t xml:space="preserve">4.2.3 </w:t>
      </w:r>
      <w:r w:rsidR="0060598A">
        <w:t>Outcomes</w:t>
      </w:r>
      <w:r w:rsidR="00634334">
        <w:t xml:space="preserve"> </w:t>
      </w:r>
    </w:p>
    <w:p w14:paraId="708C56AC" w14:textId="3060271A" w:rsidR="00634334" w:rsidRPr="00AA62F7" w:rsidRDefault="00634334" w:rsidP="00634334">
      <w:pPr>
        <w:rPr>
          <w:rFonts w:ascii="Arial" w:hAnsi="Arial" w:cs="Arial"/>
          <w:sz w:val="20"/>
          <w:szCs w:val="20"/>
        </w:rPr>
      </w:pPr>
      <w:r w:rsidRPr="00AA62F7">
        <w:rPr>
          <w:rFonts w:ascii="Arial" w:hAnsi="Arial" w:cs="Arial"/>
          <w:sz w:val="20"/>
          <w:szCs w:val="20"/>
        </w:rPr>
        <w:t xml:space="preserve">Table </w:t>
      </w:r>
      <w:r w:rsidR="00735A03">
        <w:rPr>
          <w:rFonts w:ascii="Arial" w:hAnsi="Arial" w:cs="Arial"/>
          <w:sz w:val="20"/>
          <w:szCs w:val="20"/>
        </w:rPr>
        <w:t>4</w:t>
      </w:r>
      <w:r w:rsidRPr="00AA62F7">
        <w:rPr>
          <w:rFonts w:ascii="Arial" w:hAnsi="Arial" w:cs="Arial"/>
          <w:sz w:val="20"/>
          <w:szCs w:val="20"/>
        </w:rPr>
        <w:t xml:space="preserve"> details the outcomes investigated in target trial 1 and how we plan to emulate these criteria using the UK CF Registry data. </w:t>
      </w:r>
    </w:p>
    <w:tbl>
      <w:tblPr>
        <w:tblStyle w:val="TableGrid"/>
        <w:tblW w:w="0" w:type="auto"/>
        <w:tblLook w:val="04A0" w:firstRow="1" w:lastRow="0" w:firstColumn="1" w:lastColumn="0" w:noHBand="0" w:noVBand="1"/>
      </w:tblPr>
      <w:tblGrid>
        <w:gridCol w:w="4508"/>
        <w:gridCol w:w="4508"/>
      </w:tblGrid>
      <w:tr w:rsidR="00634334" w14:paraId="59307923" w14:textId="77777777" w:rsidTr="00B616F7">
        <w:tc>
          <w:tcPr>
            <w:tcW w:w="9016" w:type="dxa"/>
            <w:gridSpan w:val="2"/>
            <w:tcBorders>
              <w:top w:val="nil"/>
              <w:left w:val="nil"/>
              <w:bottom w:val="single" w:sz="4" w:space="0" w:color="auto"/>
              <w:right w:val="nil"/>
            </w:tcBorders>
          </w:tcPr>
          <w:p w14:paraId="0401EEBD" w14:textId="37CAFA4E" w:rsidR="00634334" w:rsidRPr="00AA62F7" w:rsidRDefault="00634334" w:rsidP="00634334">
            <w:pPr>
              <w:rPr>
                <w:rFonts w:ascii="Arial" w:hAnsi="Arial" w:cs="Arial"/>
                <w:sz w:val="20"/>
                <w:szCs w:val="20"/>
              </w:rPr>
            </w:pPr>
            <w:r w:rsidRPr="00AA62F7">
              <w:rPr>
                <w:rFonts w:ascii="Arial" w:hAnsi="Arial" w:cs="Arial"/>
                <w:i/>
                <w:iCs/>
                <w:sz w:val="20"/>
                <w:szCs w:val="20"/>
              </w:rPr>
              <w:t xml:space="preserve">Table </w:t>
            </w:r>
            <w:r w:rsidR="00735A03">
              <w:rPr>
                <w:rFonts w:ascii="Arial" w:hAnsi="Arial" w:cs="Arial"/>
                <w:i/>
                <w:iCs/>
                <w:sz w:val="20"/>
                <w:szCs w:val="20"/>
              </w:rPr>
              <w:t>4</w:t>
            </w:r>
            <w:r w:rsidRPr="00AA62F7">
              <w:rPr>
                <w:rFonts w:ascii="Arial" w:hAnsi="Arial" w:cs="Arial"/>
                <w:i/>
                <w:iCs/>
                <w:sz w:val="20"/>
                <w:szCs w:val="20"/>
              </w:rPr>
              <w:t xml:space="preserve">: </w:t>
            </w:r>
            <w:r w:rsidR="00735A03">
              <w:rPr>
                <w:rFonts w:ascii="Arial" w:hAnsi="Arial" w:cs="Arial"/>
                <w:i/>
                <w:iCs/>
                <w:sz w:val="20"/>
                <w:szCs w:val="20"/>
              </w:rPr>
              <w:t>Outcomes for</w:t>
            </w:r>
            <w:r w:rsidRPr="00AA62F7">
              <w:rPr>
                <w:rFonts w:ascii="Arial" w:hAnsi="Arial" w:cs="Arial"/>
                <w:i/>
                <w:iCs/>
                <w:sz w:val="20"/>
                <w:szCs w:val="20"/>
              </w:rPr>
              <w:t xml:space="preserve"> target trial 1 and the associated emulated trial </w:t>
            </w:r>
          </w:p>
        </w:tc>
      </w:tr>
      <w:tr w:rsidR="00726233" w14:paraId="3E2002D3" w14:textId="77777777" w:rsidTr="00B616F7">
        <w:tc>
          <w:tcPr>
            <w:tcW w:w="4508" w:type="dxa"/>
            <w:tcBorders>
              <w:top w:val="single" w:sz="4" w:space="0" w:color="auto"/>
              <w:left w:val="nil"/>
              <w:bottom w:val="single" w:sz="4" w:space="0" w:color="auto"/>
              <w:right w:val="nil"/>
            </w:tcBorders>
          </w:tcPr>
          <w:p w14:paraId="2530A6B0" w14:textId="5324E531" w:rsidR="00726233" w:rsidRPr="00726233" w:rsidRDefault="00726233" w:rsidP="00933D4E">
            <w:pPr>
              <w:rPr>
                <w:rFonts w:ascii="Arial" w:hAnsi="Arial" w:cs="Arial"/>
                <w:b/>
                <w:bCs/>
                <w:sz w:val="20"/>
                <w:szCs w:val="20"/>
              </w:rPr>
            </w:pPr>
            <w:r w:rsidRPr="00726233">
              <w:rPr>
                <w:rFonts w:ascii="Arial" w:hAnsi="Arial" w:cs="Arial"/>
                <w:b/>
                <w:bCs/>
                <w:sz w:val="20"/>
                <w:szCs w:val="20"/>
              </w:rPr>
              <w:t>Target trial</w:t>
            </w:r>
          </w:p>
        </w:tc>
        <w:tc>
          <w:tcPr>
            <w:tcW w:w="4508" w:type="dxa"/>
            <w:tcBorders>
              <w:top w:val="single" w:sz="4" w:space="0" w:color="auto"/>
              <w:left w:val="nil"/>
              <w:bottom w:val="single" w:sz="4" w:space="0" w:color="auto"/>
              <w:right w:val="nil"/>
            </w:tcBorders>
          </w:tcPr>
          <w:p w14:paraId="567769BB" w14:textId="27863334" w:rsidR="00726233" w:rsidRPr="00726233" w:rsidRDefault="00726233" w:rsidP="00933D4E">
            <w:pPr>
              <w:rPr>
                <w:rFonts w:ascii="Arial" w:hAnsi="Arial" w:cs="Arial"/>
                <w:b/>
                <w:bCs/>
                <w:sz w:val="20"/>
                <w:szCs w:val="20"/>
              </w:rPr>
            </w:pPr>
            <w:r w:rsidRPr="00726233">
              <w:rPr>
                <w:rFonts w:ascii="Arial" w:hAnsi="Arial" w:cs="Arial"/>
                <w:b/>
                <w:bCs/>
                <w:sz w:val="20"/>
                <w:szCs w:val="20"/>
              </w:rPr>
              <w:t>Emulated trial</w:t>
            </w:r>
          </w:p>
        </w:tc>
      </w:tr>
      <w:tr w:rsidR="00933D4E" w14:paraId="6607782C" w14:textId="77777777" w:rsidTr="00B616F7">
        <w:tc>
          <w:tcPr>
            <w:tcW w:w="4508" w:type="dxa"/>
            <w:tcBorders>
              <w:top w:val="single" w:sz="4" w:space="0" w:color="auto"/>
              <w:left w:val="nil"/>
              <w:bottom w:val="single" w:sz="4" w:space="0" w:color="auto"/>
              <w:right w:val="nil"/>
            </w:tcBorders>
          </w:tcPr>
          <w:p w14:paraId="4554961D" w14:textId="77777777" w:rsidR="00933D4E" w:rsidRPr="00AA62F7" w:rsidRDefault="00933D4E" w:rsidP="00933D4E">
            <w:pPr>
              <w:rPr>
                <w:rFonts w:ascii="Arial" w:hAnsi="Arial" w:cs="Arial"/>
                <w:sz w:val="20"/>
                <w:szCs w:val="20"/>
              </w:rPr>
            </w:pPr>
            <w:r w:rsidRPr="00AA62F7">
              <w:rPr>
                <w:rFonts w:ascii="Arial" w:hAnsi="Arial" w:cs="Arial"/>
                <w:sz w:val="20"/>
                <w:szCs w:val="20"/>
              </w:rPr>
              <w:t>Primary outcomes:</w:t>
            </w:r>
          </w:p>
          <w:p w14:paraId="590FBED6" w14:textId="016F7A79" w:rsidR="00933D4E" w:rsidRPr="00AA62F7" w:rsidRDefault="00933D4E" w:rsidP="001A3E2E">
            <w:pPr>
              <w:pStyle w:val="ListParagraph"/>
              <w:numPr>
                <w:ilvl w:val="0"/>
                <w:numId w:val="6"/>
              </w:numPr>
              <w:rPr>
                <w:rFonts w:ascii="Arial" w:hAnsi="Arial" w:cs="Arial"/>
                <w:sz w:val="20"/>
                <w:szCs w:val="20"/>
              </w:rPr>
            </w:pPr>
            <w:r w:rsidRPr="00AA62F7">
              <w:rPr>
                <w:rFonts w:ascii="Arial" w:hAnsi="Arial" w:cs="Arial"/>
                <w:sz w:val="20"/>
                <w:szCs w:val="20"/>
              </w:rPr>
              <w:t>Relative change from baseline in FEV</w:t>
            </w:r>
            <w:r w:rsidRPr="00AA62F7">
              <w:rPr>
                <w:rFonts w:ascii="Arial" w:hAnsi="Arial" w:cs="Arial"/>
                <w:sz w:val="20"/>
                <w:szCs w:val="20"/>
                <w:vertAlign w:val="subscript"/>
              </w:rPr>
              <w:t>1</w:t>
            </w:r>
            <w:r w:rsidR="00B616F7" w:rsidRPr="00AA62F7">
              <w:rPr>
                <w:rFonts w:ascii="Arial" w:hAnsi="Arial" w:cs="Arial"/>
                <w:sz w:val="20"/>
                <w:szCs w:val="20"/>
              </w:rPr>
              <w:t>%</w:t>
            </w:r>
            <w:r w:rsidRPr="00AA62F7">
              <w:rPr>
                <w:rFonts w:ascii="Arial" w:hAnsi="Arial" w:cs="Arial"/>
                <w:sz w:val="20"/>
                <w:szCs w:val="20"/>
              </w:rPr>
              <w:t xml:space="preserve"> at day 28 (calculated using Knudson equations)</w:t>
            </w:r>
          </w:p>
          <w:p w14:paraId="4C18EB96" w14:textId="4FDCF3DC" w:rsidR="00933D4E" w:rsidRPr="00AA62F7" w:rsidRDefault="00933D4E" w:rsidP="001A3E2E">
            <w:pPr>
              <w:pStyle w:val="ListParagraph"/>
              <w:numPr>
                <w:ilvl w:val="0"/>
                <w:numId w:val="6"/>
              </w:numPr>
              <w:rPr>
                <w:rFonts w:ascii="Arial" w:hAnsi="Arial" w:cs="Arial"/>
                <w:sz w:val="20"/>
                <w:szCs w:val="20"/>
              </w:rPr>
            </w:pPr>
            <w:r w:rsidRPr="00AA62F7">
              <w:rPr>
                <w:rFonts w:ascii="Arial" w:hAnsi="Arial" w:cs="Arial"/>
                <w:sz w:val="20"/>
                <w:szCs w:val="20"/>
              </w:rPr>
              <w:t>Mean actual change from baseline in FEV</w:t>
            </w:r>
            <w:r w:rsidRPr="00AA62F7">
              <w:rPr>
                <w:rFonts w:ascii="Arial" w:hAnsi="Arial" w:cs="Arial"/>
                <w:sz w:val="20"/>
                <w:szCs w:val="20"/>
                <w:vertAlign w:val="subscript"/>
              </w:rPr>
              <w:t>1</w:t>
            </w:r>
            <w:r w:rsidR="00B616F7" w:rsidRPr="00AA62F7">
              <w:rPr>
                <w:rFonts w:ascii="Arial" w:hAnsi="Arial" w:cs="Arial"/>
                <w:sz w:val="20"/>
                <w:szCs w:val="20"/>
              </w:rPr>
              <w:t>%</w:t>
            </w:r>
            <w:r w:rsidRPr="00AA62F7">
              <w:rPr>
                <w:rFonts w:ascii="Arial" w:hAnsi="Arial" w:cs="Arial"/>
                <w:sz w:val="20"/>
                <w:szCs w:val="20"/>
              </w:rPr>
              <w:t xml:space="preserve"> across 3 treatment courses:</w:t>
            </w:r>
          </w:p>
          <w:p w14:paraId="7312BD25" w14:textId="77777777" w:rsidR="00933D4E" w:rsidRPr="00AA62F7" w:rsidRDefault="00933D4E" w:rsidP="001A3E2E">
            <w:pPr>
              <w:pStyle w:val="ListParagraph"/>
              <w:numPr>
                <w:ilvl w:val="1"/>
                <w:numId w:val="6"/>
              </w:numPr>
              <w:rPr>
                <w:rFonts w:ascii="Arial" w:hAnsi="Arial" w:cs="Arial"/>
                <w:sz w:val="20"/>
                <w:szCs w:val="20"/>
              </w:rPr>
            </w:pPr>
            <w:r w:rsidRPr="00AA62F7">
              <w:rPr>
                <w:rFonts w:ascii="Arial" w:hAnsi="Arial" w:cs="Arial"/>
                <w:sz w:val="20"/>
                <w:szCs w:val="20"/>
              </w:rPr>
              <w:t>Course 1 (Week 4)</w:t>
            </w:r>
          </w:p>
          <w:p w14:paraId="30EF249C" w14:textId="77777777" w:rsidR="00933D4E" w:rsidRPr="00AA62F7" w:rsidRDefault="00933D4E" w:rsidP="001A3E2E">
            <w:pPr>
              <w:pStyle w:val="ListParagraph"/>
              <w:numPr>
                <w:ilvl w:val="1"/>
                <w:numId w:val="6"/>
              </w:numPr>
              <w:rPr>
                <w:rFonts w:ascii="Arial" w:hAnsi="Arial" w:cs="Arial"/>
                <w:sz w:val="20"/>
                <w:szCs w:val="20"/>
              </w:rPr>
            </w:pPr>
            <w:r w:rsidRPr="00AA62F7">
              <w:rPr>
                <w:rFonts w:ascii="Arial" w:hAnsi="Arial" w:cs="Arial"/>
                <w:sz w:val="20"/>
                <w:szCs w:val="20"/>
              </w:rPr>
              <w:t>Course 2 (Week 12)</w:t>
            </w:r>
          </w:p>
          <w:p w14:paraId="615C4B5D" w14:textId="77777777" w:rsidR="00933D4E" w:rsidRPr="00AA62F7" w:rsidRDefault="00933D4E" w:rsidP="001A3E2E">
            <w:pPr>
              <w:pStyle w:val="ListParagraph"/>
              <w:numPr>
                <w:ilvl w:val="1"/>
                <w:numId w:val="6"/>
              </w:numPr>
              <w:rPr>
                <w:rFonts w:ascii="Arial" w:hAnsi="Arial" w:cs="Arial"/>
                <w:sz w:val="20"/>
                <w:szCs w:val="20"/>
              </w:rPr>
            </w:pPr>
            <w:r w:rsidRPr="00AA62F7">
              <w:rPr>
                <w:rFonts w:ascii="Arial" w:hAnsi="Arial" w:cs="Arial"/>
                <w:sz w:val="20"/>
                <w:szCs w:val="20"/>
              </w:rPr>
              <w:t>Course 3 (Week 20)</w:t>
            </w:r>
          </w:p>
          <w:p w14:paraId="2CC40EB2" w14:textId="77777777" w:rsidR="00933D4E" w:rsidRPr="00AA62F7" w:rsidRDefault="00933D4E" w:rsidP="00933D4E">
            <w:pPr>
              <w:rPr>
                <w:rFonts w:ascii="Arial" w:hAnsi="Arial" w:cs="Arial"/>
                <w:sz w:val="20"/>
                <w:szCs w:val="20"/>
              </w:rPr>
            </w:pPr>
          </w:p>
          <w:p w14:paraId="78748951" w14:textId="7741520A" w:rsidR="00933D4E" w:rsidRPr="00AA62F7" w:rsidRDefault="00933D4E" w:rsidP="00933D4E">
            <w:pPr>
              <w:rPr>
                <w:rFonts w:ascii="Arial" w:hAnsi="Arial" w:cs="Arial"/>
                <w:sz w:val="20"/>
                <w:szCs w:val="20"/>
              </w:rPr>
            </w:pPr>
            <w:r w:rsidRPr="00AA62F7">
              <w:rPr>
                <w:rFonts w:ascii="Arial" w:hAnsi="Arial" w:cs="Arial"/>
                <w:sz w:val="20"/>
                <w:szCs w:val="20"/>
              </w:rPr>
              <w:t>Secondary outcomes</w:t>
            </w:r>
            <w:r w:rsidR="00AE37EC">
              <w:rPr>
                <w:rFonts w:ascii="Arial" w:hAnsi="Arial" w:cs="Arial"/>
                <w:sz w:val="20"/>
                <w:szCs w:val="20"/>
              </w:rPr>
              <w:t>:</w:t>
            </w:r>
          </w:p>
          <w:p w14:paraId="29C4F3A5" w14:textId="1D2BCA15" w:rsidR="00933D4E" w:rsidRPr="00AA62F7" w:rsidRDefault="00933D4E" w:rsidP="001A3E2E">
            <w:pPr>
              <w:pStyle w:val="ListParagraph"/>
              <w:numPr>
                <w:ilvl w:val="0"/>
                <w:numId w:val="7"/>
              </w:numPr>
              <w:rPr>
                <w:rFonts w:ascii="Arial" w:hAnsi="Arial" w:cs="Arial"/>
                <w:sz w:val="20"/>
                <w:szCs w:val="20"/>
              </w:rPr>
            </w:pPr>
            <w:r w:rsidRPr="00AA62F7">
              <w:rPr>
                <w:rFonts w:ascii="Arial" w:hAnsi="Arial" w:cs="Arial"/>
                <w:sz w:val="20"/>
                <w:szCs w:val="20"/>
              </w:rPr>
              <w:t>Relative change from baseline in FEV</w:t>
            </w:r>
            <w:r w:rsidRPr="00AA62F7">
              <w:rPr>
                <w:rFonts w:ascii="Arial" w:hAnsi="Arial" w:cs="Arial"/>
                <w:sz w:val="20"/>
                <w:szCs w:val="20"/>
                <w:vertAlign w:val="subscript"/>
              </w:rPr>
              <w:t>1</w:t>
            </w:r>
            <w:r w:rsidR="00AF5612">
              <w:rPr>
                <w:rFonts w:ascii="Arial" w:hAnsi="Arial" w:cs="Arial"/>
                <w:sz w:val="20"/>
                <w:szCs w:val="20"/>
              </w:rPr>
              <w:t xml:space="preserve">% </w:t>
            </w:r>
            <w:r w:rsidRPr="00AA62F7">
              <w:rPr>
                <w:rFonts w:ascii="Arial" w:hAnsi="Arial" w:cs="Arial"/>
                <w:sz w:val="20"/>
                <w:szCs w:val="20"/>
              </w:rPr>
              <w:t xml:space="preserve">at day 28 in subjects who received inhaled tobramycin for </w:t>
            </w:r>
            <w:r w:rsidRPr="00AF5612">
              <w:rPr>
                <w:rFonts w:ascii="Arial" w:hAnsi="Arial" w:cs="Arial"/>
                <w:sz w:val="20"/>
                <w:szCs w:val="20"/>
                <w:u w:val="single"/>
              </w:rPr>
              <w:t>&gt;</w:t>
            </w:r>
            <w:r w:rsidRPr="00AA62F7">
              <w:rPr>
                <w:rFonts w:ascii="Arial" w:hAnsi="Arial" w:cs="Arial"/>
                <w:sz w:val="20"/>
                <w:szCs w:val="20"/>
              </w:rPr>
              <w:t>84 days in the 12 months prior to randomisation</w:t>
            </w:r>
            <w:r w:rsidR="00B616F7" w:rsidRPr="00AA62F7">
              <w:rPr>
                <w:rFonts w:ascii="Arial" w:hAnsi="Arial" w:cs="Arial"/>
                <w:sz w:val="20"/>
                <w:szCs w:val="20"/>
              </w:rPr>
              <w:t>.</w:t>
            </w:r>
          </w:p>
          <w:p w14:paraId="03C3C74E" w14:textId="292B4E4D" w:rsidR="00933D4E" w:rsidRPr="00AA62F7" w:rsidRDefault="00933D4E" w:rsidP="001A3E2E">
            <w:pPr>
              <w:pStyle w:val="ListParagraph"/>
              <w:numPr>
                <w:ilvl w:val="0"/>
                <w:numId w:val="7"/>
              </w:numPr>
              <w:rPr>
                <w:rFonts w:ascii="Arial" w:hAnsi="Arial" w:cs="Arial"/>
                <w:sz w:val="20"/>
                <w:szCs w:val="20"/>
              </w:rPr>
            </w:pPr>
            <w:r w:rsidRPr="00AA62F7">
              <w:rPr>
                <w:rFonts w:ascii="Arial" w:hAnsi="Arial" w:cs="Arial"/>
                <w:sz w:val="20"/>
                <w:szCs w:val="20"/>
              </w:rPr>
              <w:t>Mean actual change from baseline in FEV</w:t>
            </w:r>
            <w:r w:rsidRPr="00AA62F7">
              <w:rPr>
                <w:rFonts w:ascii="Arial" w:hAnsi="Arial" w:cs="Arial"/>
                <w:sz w:val="20"/>
                <w:szCs w:val="20"/>
                <w:vertAlign w:val="subscript"/>
              </w:rPr>
              <w:t>1</w:t>
            </w:r>
            <w:r w:rsidR="00415597">
              <w:rPr>
                <w:rFonts w:ascii="Arial" w:hAnsi="Arial" w:cs="Arial"/>
                <w:sz w:val="20"/>
                <w:szCs w:val="20"/>
              </w:rPr>
              <w:t xml:space="preserve">% </w:t>
            </w:r>
            <w:r w:rsidRPr="00AA62F7">
              <w:rPr>
                <w:rFonts w:ascii="Arial" w:hAnsi="Arial" w:cs="Arial"/>
                <w:sz w:val="20"/>
                <w:szCs w:val="20"/>
              </w:rPr>
              <w:t xml:space="preserve">across 3 treatment courses in subjects who received inhaled tobramycin for </w:t>
            </w:r>
            <w:r w:rsidRPr="00AF5612">
              <w:rPr>
                <w:rFonts w:ascii="Arial" w:hAnsi="Arial" w:cs="Arial"/>
                <w:sz w:val="20"/>
                <w:szCs w:val="20"/>
                <w:u w:val="single"/>
              </w:rPr>
              <w:t>&gt;</w:t>
            </w:r>
            <w:r w:rsidRPr="00AA62F7">
              <w:rPr>
                <w:rFonts w:ascii="Arial" w:hAnsi="Arial" w:cs="Arial"/>
                <w:sz w:val="20"/>
                <w:szCs w:val="20"/>
              </w:rPr>
              <w:t xml:space="preserve">84 days in the 12 months prior to randomisation. </w:t>
            </w:r>
          </w:p>
          <w:p w14:paraId="092550C1" w14:textId="5A8026B2" w:rsidR="00B616F7" w:rsidRPr="00AA62F7" w:rsidRDefault="00933D4E" w:rsidP="001A3E2E">
            <w:pPr>
              <w:pStyle w:val="ListParagraph"/>
              <w:numPr>
                <w:ilvl w:val="0"/>
                <w:numId w:val="7"/>
              </w:numPr>
              <w:rPr>
                <w:rFonts w:ascii="Arial" w:hAnsi="Arial" w:cs="Arial"/>
                <w:sz w:val="20"/>
                <w:szCs w:val="20"/>
              </w:rPr>
            </w:pPr>
            <w:r w:rsidRPr="00AA62F7">
              <w:rPr>
                <w:rFonts w:ascii="Arial" w:hAnsi="Arial" w:cs="Arial"/>
                <w:sz w:val="20"/>
                <w:szCs w:val="20"/>
              </w:rPr>
              <w:lastRenderedPageBreak/>
              <w:t>Time to need for intravenous antipseudomonal antibiotics for respiratory events</w:t>
            </w:r>
            <w:r w:rsidR="00B616F7" w:rsidRPr="00AA62F7">
              <w:rPr>
                <w:rFonts w:ascii="Arial" w:hAnsi="Arial" w:cs="Arial"/>
                <w:sz w:val="20"/>
                <w:szCs w:val="20"/>
              </w:rPr>
              <w:t>.</w:t>
            </w:r>
            <w:r w:rsidRPr="00AA62F7">
              <w:rPr>
                <w:rFonts w:ascii="Arial" w:hAnsi="Arial" w:cs="Arial"/>
                <w:sz w:val="20"/>
                <w:szCs w:val="20"/>
              </w:rPr>
              <w:t xml:space="preserve"> </w:t>
            </w:r>
          </w:p>
          <w:p w14:paraId="33A42190" w14:textId="0159587A" w:rsidR="00933D4E" w:rsidRPr="00AA62F7" w:rsidRDefault="00933D4E" w:rsidP="001A3E2E">
            <w:pPr>
              <w:pStyle w:val="ListParagraph"/>
              <w:numPr>
                <w:ilvl w:val="0"/>
                <w:numId w:val="7"/>
              </w:numPr>
              <w:rPr>
                <w:rFonts w:ascii="Arial" w:hAnsi="Arial" w:cs="Arial"/>
                <w:sz w:val="20"/>
                <w:szCs w:val="20"/>
              </w:rPr>
            </w:pPr>
            <w:r w:rsidRPr="00AA62F7">
              <w:rPr>
                <w:rFonts w:ascii="Arial" w:hAnsi="Arial" w:cs="Arial"/>
                <w:sz w:val="20"/>
                <w:szCs w:val="20"/>
              </w:rPr>
              <w:t>Time to first respiratory hospitalisation</w:t>
            </w:r>
            <w:r w:rsidR="00B616F7" w:rsidRPr="00AA62F7">
              <w:rPr>
                <w:rFonts w:ascii="Arial" w:hAnsi="Arial" w:cs="Arial"/>
                <w:sz w:val="20"/>
                <w:szCs w:val="20"/>
              </w:rPr>
              <w:t>.</w:t>
            </w:r>
          </w:p>
        </w:tc>
        <w:tc>
          <w:tcPr>
            <w:tcW w:w="4508" w:type="dxa"/>
            <w:tcBorders>
              <w:top w:val="single" w:sz="4" w:space="0" w:color="auto"/>
              <w:left w:val="nil"/>
              <w:bottom w:val="single" w:sz="4" w:space="0" w:color="auto"/>
              <w:right w:val="nil"/>
            </w:tcBorders>
          </w:tcPr>
          <w:p w14:paraId="2C04C28D" w14:textId="77777777" w:rsidR="00933D4E" w:rsidRPr="00AA62F7" w:rsidRDefault="00AB2902" w:rsidP="00933D4E">
            <w:pPr>
              <w:rPr>
                <w:rFonts w:ascii="Arial" w:hAnsi="Arial" w:cs="Arial"/>
                <w:sz w:val="20"/>
                <w:szCs w:val="20"/>
              </w:rPr>
            </w:pPr>
            <w:r w:rsidRPr="00AA62F7">
              <w:rPr>
                <w:rFonts w:ascii="Arial" w:hAnsi="Arial" w:cs="Arial"/>
                <w:sz w:val="20"/>
                <w:szCs w:val="20"/>
              </w:rPr>
              <w:lastRenderedPageBreak/>
              <w:t xml:space="preserve">Primary outcomes: </w:t>
            </w:r>
          </w:p>
          <w:p w14:paraId="4E2D1BA2" w14:textId="77777777" w:rsidR="00AB2902" w:rsidRPr="00AA62F7" w:rsidRDefault="00AB2902" w:rsidP="001A3E2E">
            <w:pPr>
              <w:pStyle w:val="ListParagraph"/>
              <w:numPr>
                <w:ilvl w:val="0"/>
                <w:numId w:val="8"/>
              </w:numPr>
              <w:rPr>
                <w:rFonts w:ascii="Arial" w:hAnsi="Arial" w:cs="Arial"/>
                <w:sz w:val="20"/>
                <w:szCs w:val="20"/>
              </w:rPr>
            </w:pPr>
            <w:r w:rsidRPr="00AA62F7">
              <w:rPr>
                <w:rFonts w:ascii="Arial" w:hAnsi="Arial" w:cs="Arial"/>
                <w:sz w:val="20"/>
                <w:szCs w:val="20"/>
              </w:rPr>
              <w:t>Same as target trial</w:t>
            </w:r>
          </w:p>
          <w:p w14:paraId="75E0E6CA" w14:textId="77777777" w:rsidR="00AB2902" w:rsidRPr="00AA62F7" w:rsidRDefault="00AB2902" w:rsidP="001A3E2E">
            <w:pPr>
              <w:pStyle w:val="ListParagraph"/>
              <w:numPr>
                <w:ilvl w:val="0"/>
                <w:numId w:val="8"/>
              </w:numPr>
              <w:rPr>
                <w:rFonts w:ascii="Arial" w:hAnsi="Arial" w:cs="Arial"/>
                <w:sz w:val="20"/>
                <w:szCs w:val="20"/>
              </w:rPr>
            </w:pPr>
            <w:r w:rsidRPr="00AA62F7">
              <w:rPr>
                <w:rFonts w:ascii="Arial" w:hAnsi="Arial" w:cs="Arial"/>
                <w:sz w:val="20"/>
                <w:szCs w:val="20"/>
              </w:rPr>
              <w:t>Same as target trial</w:t>
            </w:r>
          </w:p>
          <w:p w14:paraId="1951F268" w14:textId="77777777" w:rsidR="00AB2902" w:rsidRPr="00AA62F7" w:rsidRDefault="00AB2902" w:rsidP="00AB2902">
            <w:pPr>
              <w:rPr>
                <w:rFonts w:ascii="Arial" w:hAnsi="Arial" w:cs="Arial"/>
                <w:sz w:val="20"/>
                <w:szCs w:val="20"/>
              </w:rPr>
            </w:pPr>
          </w:p>
          <w:p w14:paraId="5D756C91" w14:textId="77777777" w:rsidR="00B616F7" w:rsidRPr="00AA62F7" w:rsidRDefault="00B616F7" w:rsidP="00AB2902">
            <w:pPr>
              <w:rPr>
                <w:rFonts w:ascii="Arial" w:hAnsi="Arial" w:cs="Arial"/>
                <w:sz w:val="20"/>
                <w:szCs w:val="20"/>
              </w:rPr>
            </w:pPr>
          </w:p>
          <w:p w14:paraId="3EBB87F2" w14:textId="77777777" w:rsidR="00B616F7" w:rsidRPr="00AA62F7" w:rsidRDefault="00B616F7" w:rsidP="00AB2902">
            <w:pPr>
              <w:rPr>
                <w:rFonts w:ascii="Arial" w:hAnsi="Arial" w:cs="Arial"/>
                <w:sz w:val="20"/>
                <w:szCs w:val="20"/>
              </w:rPr>
            </w:pPr>
          </w:p>
          <w:p w14:paraId="30E160B0" w14:textId="77777777" w:rsidR="00B616F7" w:rsidRPr="00AA62F7" w:rsidRDefault="00B616F7" w:rsidP="00AB2902">
            <w:pPr>
              <w:rPr>
                <w:rFonts w:ascii="Arial" w:hAnsi="Arial" w:cs="Arial"/>
                <w:sz w:val="20"/>
                <w:szCs w:val="20"/>
              </w:rPr>
            </w:pPr>
          </w:p>
          <w:p w14:paraId="2BDDA532" w14:textId="77777777" w:rsidR="00B616F7" w:rsidRPr="00AA62F7" w:rsidRDefault="00B616F7" w:rsidP="00AB2902">
            <w:pPr>
              <w:rPr>
                <w:rFonts w:ascii="Arial" w:hAnsi="Arial" w:cs="Arial"/>
                <w:sz w:val="20"/>
                <w:szCs w:val="20"/>
              </w:rPr>
            </w:pPr>
          </w:p>
          <w:p w14:paraId="23C60F25" w14:textId="77777777" w:rsidR="00B616F7" w:rsidRPr="00AA62F7" w:rsidRDefault="00B616F7" w:rsidP="00AB2902">
            <w:pPr>
              <w:rPr>
                <w:rFonts w:ascii="Arial" w:hAnsi="Arial" w:cs="Arial"/>
                <w:sz w:val="20"/>
                <w:szCs w:val="20"/>
              </w:rPr>
            </w:pPr>
          </w:p>
          <w:p w14:paraId="32E9D926" w14:textId="77777777" w:rsidR="00B616F7" w:rsidRPr="00AA62F7" w:rsidRDefault="00B616F7" w:rsidP="00AB2902">
            <w:pPr>
              <w:rPr>
                <w:rFonts w:ascii="Arial" w:hAnsi="Arial" w:cs="Arial"/>
                <w:sz w:val="20"/>
                <w:szCs w:val="20"/>
              </w:rPr>
            </w:pPr>
          </w:p>
          <w:p w14:paraId="7CBEE8E6" w14:textId="77777777" w:rsidR="00AB2902" w:rsidRPr="00AA62F7" w:rsidRDefault="00AB2902" w:rsidP="00AB2902">
            <w:pPr>
              <w:rPr>
                <w:rFonts w:ascii="Arial" w:hAnsi="Arial" w:cs="Arial"/>
                <w:sz w:val="20"/>
                <w:szCs w:val="20"/>
              </w:rPr>
            </w:pPr>
            <w:r w:rsidRPr="00AA62F7">
              <w:rPr>
                <w:rFonts w:ascii="Arial" w:hAnsi="Arial" w:cs="Arial"/>
                <w:sz w:val="20"/>
                <w:szCs w:val="20"/>
              </w:rPr>
              <w:t>Secondary outcomes:</w:t>
            </w:r>
          </w:p>
          <w:p w14:paraId="3E2E0F5E" w14:textId="30C7CBA8" w:rsidR="00B616F7" w:rsidRPr="00AA62F7" w:rsidRDefault="00B616F7" w:rsidP="001A3E2E">
            <w:pPr>
              <w:pStyle w:val="ListParagraph"/>
              <w:numPr>
                <w:ilvl w:val="0"/>
                <w:numId w:val="9"/>
              </w:numPr>
              <w:rPr>
                <w:rFonts w:ascii="Arial" w:hAnsi="Arial" w:cs="Arial"/>
                <w:sz w:val="20"/>
                <w:szCs w:val="20"/>
              </w:rPr>
            </w:pPr>
            <w:r w:rsidRPr="00AA62F7">
              <w:rPr>
                <w:rFonts w:ascii="Arial" w:hAnsi="Arial" w:cs="Arial"/>
                <w:sz w:val="20"/>
                <w:szCs w:val="20"/>
              </w:rPr>
              <w:t xml:space="preserve">Same as target trial </w:t>
            </w:r>
          </w:p>
          <w:p w14:paraId="5F693024" w14:textId="2DF559EF" w:rsidR="00B616F7" w:rsidRPr="00AA62F7" w:rsidRDefault="00B616F7" w:rsidP="001A3E2E">
            <w:pPr>
              <w:pStyle w:val="ListParagraph"/>
              <w:numPr>
                <w:ilvl w:val="0"/>
                <w:numId w:val="9"/>
              </w:numPr>
              <w:rPr>
                <w:rFonts w:ascii="Arial" w:hAnsi="Arial" w:cs="Arial"/>
                <w:sz w:val="20"/>
                <w:szCs w:val="20"/>
              </w:rPr>
            </w:pPr>
            <w:r w:rsidRPr="00AA62F7">
              <w:rPr>
                <w:rFonts w:ascii="Arial" w:hAnsi="Arial" w:cs="Arial"/>
                <w:sz w:val="20"/>
                <w:szCs w:val="20"/>
              </w:rPr>
              <w:t xml:space="preserve">Same as target trial </w:t>
            </w:r>
          </w:p>
          <w:p w14:paraId="4FB0A4BF" w14:textId="3C704D82" w:rsidR="00B616F7" w:rsidRPr="00AA62F7" w:rsidRDefault="00B616F7" w:rsidP="001A3E2E">
            <w:pPr>
              <w:pStyle w:val="ListParagraph"/>
              <w:numPr>
                <w:ilvl w:val="0"/>
                <w:numId w:val="9"/>
              </w:numPr>
              <w:rPr>
                <w:rFonts w:ascii="Arial" w:hAnsi="Arial" w:cs="Arial"/>
                <w:sz w:val="20"/>
                <w:szCs w:val="20"/>
              </w:rPr>
            </w:pPr>
            <w:r w:rsidRPr="00AA62F7">
              <w:rPr>
                <w:rFonts w:ascii="Arial" w:hAnsi="Arial" w:cs="Arial"/>
                <w:sz w:val="20"/>
                <w:szCs w:val="20"/>
              </w:rPr>
              <w:t>Same as target trial</w:t>
            </w:r>
          </w:p>
          <w:p w14:paraId="13A825E2" w14:textId="03889067" w:rsidR="00B616F7" w:rsidRPr="00AA62F7" w:rsidRDefault="00B616F7" w:rsidP="001A3E2E">
            <w:pPr>
              <w:pStyle w:val="ListParagraph"/>
              <w:numPr>
                <w:ilvl w:val="0"/>
                <w:numId w:val="9"/>
              </w:numPr>
              <w:rPr>
                <w:rFonts w:ascii="Arial" w:hAnsi="Arial" w:cs="Arial"/>
                <w:sz w:val="20"/>
                <w:szCs w:val="20"/>
              </w:rPr>
            </w:pPr>
            <w:r w:rsidRPr="00AA62F7">
              <w:rPr>
                <w:rFonts w:ascii="Arial" w:hAnsi="Arial" w:cs="Arial"/>
                <w:sz w:val="20"/>
                <w:szCs w:val="20"/>
              </w:rPr>
              <w:t xml:space="preserve">Time to first hospitalisation. </w:t>
            </w:r>
          </w:p>
          <w:p w14:paraId="3AA84FBA" w14:textId="7A60A304" w:rsidR="00AB2902" w:rsidRPr="00AA62F7" w:rsidRDefault="00AB2902" w:rsidP="00AB2902">
            <w:pPr>
              <w:rPr>
                <w:rFonts w:ascii="Arial" w:hAnsi="Arial" w:cs="Arial"/>
                <w:sz w:val="20"/>
                <w:szCs w:val="20"/>
              </w:rPr>
            </w:pPr>
          </w:p>
        </w:tc>
      </w:tr>
    </w:tbl>
    <w:p w14:paraId="0A5BA558" w14:textId="77777777" w:rsidR="00CF4DF2" w:rsidRDefault="00CF4DF2" w:rsidP="00443D91"/>
    <w:p w14:paraId="4E5FB965" w14:textId="3198F1D5" w:rsidR="00A2486B" w:rsidRDefault="00A2486B" w:rsidP="007416B1">
      <w:pPr>
        <w:pStyle w:val="Heading2"/>
        <w:numPr>
          <w:ilvl w:val="1"/>
          <w:numId w:val="9"/>
        </w:numPr>
      </w:pPr>
      <w:r>
        <w:t xml:space="preserve">Target and emulated trial 2: Eligibility criteria, treatment strategies and outcomes </w:t>
      </w:r>
    </w:p>
    <w:p w14:paraId="0309FF6F" w14:textId="01458A8B" w:rsidR="007416B1" w:rsidRPr="007416B1" w:rsidRDefault="007416B1" w:rsidP="007416B1">
      <w:pPr>
        <w:rPr>
          <w:rFonts w:ascii="Arial" w:hAnsi="Arial" w:cs="Arial"/>
          <w:sz w:val="20"/>
          <w:szCs w:val="20"/>
        </w:rPr>
      </w:pPr>
      <w:r w:rsidRPr="007416B1">
        <w:rPr>
          <w:rFonts w:ascii="Arial" w:hAnsi="Arial" w:cs="Arial"/>
          <w:sz w:val="20"/>
          <w:szCs w:val="20"/>
        </w:rPr>
        <w:t xml:space="preserve">In this section, we provide details on how target trial </w:t>
      </w:r>
      <w:r>
        <w:rPr>
          <w:rFonts w:ascii="Arial" w:hAnsi="Arial" w:cs="Arial"/>
          <w:sz w:val="20"/>
          <w:szCs w:val="20"/>
        </w:rPr>
        <w:t>2</w:t>
      </w:r>
      <w:r w:rsidRPr="007416B1">
        <w:rPr>
          <w:rFonts w:ascii="Arial" w:hAnsi="Arial" w:cs="Arial"/>
          <w:sz w:val="20"/>
          <w:szCs w:val="20"/>
        </w:rPr>
        <w:t xml:space="preserve"> will be emulated using the UK CF Registry data. Section 4.</w:t>
      </w:r>
      <w:r>
        <w:rPr>
          <w:rFonts w:ascii="Arial" w:hAnsi="Arial" w:cs="Arial"/>
          <w:sz w:val="20"/>
          <w:szCs w:val="20"/>
        </w:rPr>
        <w:t>3</w:t>
      </w:r>
      <w:r w:rsidRPr="007416B1">
        <w:rPr>
          <w:rFonts w:ascii="Arial" w:hAnsi="Arial" w:cs="Arial"/>
          <w:sz w:val="20"/>
          <w:szCs w:val="20"/>
        </w:rPr>
        <w:t>.1 provides details on the eligibility criteria; section 4.</w:t>
      </w:r>
      <w:r>
        <w:rPr>
          <w:rFonts w:ascii="Arial" w:hAnsi="Arial" w:cs="Arial"/>
          <w:sz w:val="20"/>
          <w:szCs w:val="20"/>
        </w:rPr>
        <w:t>3</w:t>
      </w:r>
      <w:r w:rsidRPr="007416B1">
        <w:rPr>
          <w:rFonts w:ascii="Arial" w:hAnsi="Arial" w:cs="Arial"/>
          <w:sz w:val="20"/>
          <w:szCs w:val="20"/>
        </w:rPr>
        <w:t>.2 describes the treatment strategies and section 4.</w:t>
      </w:r>
      <w:r>
        <w:rPr>
          <w:rFonts w:ascii="Arial" w:hAnsi="Arial" w:cs="Arial"/>
          <w:sz w:val="20"/>
          <w:szCs w:val="20"/>
        </w:rPr>
        <w:t>3</w:t>
      </w:r>
      <w:r w:rsidRPr="007416B1">
        <w:rPr>
          <w:rFonts w:ascii="Arial" w:hAnsi="Arial" w:cs="Arial"/>
          <w:sz w:val="20"/>
          <w:szCs w:val="20"/>
        </w:rPr>
        <w:t xml:space="preserve">.3 lists the primary and secondary outcomes. </w:t>
      </w:r>
    </w:p>
    <w:p w14:paraId="495827F0" w14:textId="5B94FFDA" w:rsidR="00A2486B" w:rsidRDefault="00121AF5" w:rsidP="00121AF5">
      <w:pPr>
        <w:pStyle w:val="Heading3"/>
      </w:pPr>
      <w:r>
        <w:t xml:space="preserve">4.3.1 </w:t>
      </w:r>
      <w:r w:rsidR="00A2486B">
        <w:t xml:space="preserve">Eligibility criteria </w:t>
      </w:r>
    </w:p>
    <w:p w14:paraId="560110A1" w14:textId="4658BCCC" w:rsidR="00A2486B" w:rsidRPr="00A2486B" w:rsidRDefault="00A2486B" w:rsidP="00A2486B">
      <w:pPr>
        <w:rPr>
          <w:rFonts w:ascii="Arial" w:hAnsi="Arial" w:cs="Arial"/>
          <w:sz w:val="20"/>
          <w:szCs w:val="20"/>
        </w:rPr>
      </w:pPr>
      <w:r w:rsidRPr="00A2486B">
        <w:rPr>
          <w:rFonts w:ascii="Arial" w:hAnsi="Arial" w:cs="Arial"/>
          <w:sz w:val="20"/>
          <w:szCs w:val="20"/>
        </w:rPr>
        <w:t xml:space="preserve">Table </w:t>
      </w:r>
      <w:r w:rsidR="00735A03">
        <w:rPr>
          <w:rFonts w:ascii="Arial" w:hAnsi="Arial" w:cs="Arial"/>
          <w:sz w:val="20"/>
          <w:szCs w:val="20"/>
        </w:rPr>
        <w:t>5</w:t>
      </w:r>
      <w:r w:rsidRPr="00A2486B">
        <w:rPr>
          <w:rFonts w:ascii="Arial" w:hAnsi="Arial" w:cs="Arial"/>
          <w:sz w:val="20"/>
          <w:szCs w:val="20"/>
        </w:rPr>
        <w:t xml:space="preserve"> details the inclusion and exclusion criteria used in target trial </w:t>
      </w:r>
      <w:r w:rsidR="00A331F6">
        <w:rPr>
          <w:rFonts w:ascii="Arial" w:hAnsi="Arial" w:cs="Arial"/>
          <w:sz w:val="20"/>
          <w:szCs w:val="20"/>
        </w:rPr>
        <w:t>2</w:t>
      </w:r>
      <w:r w:rsidRPr="00A2486B">
        <w:rPr>
          <w:rFonts w:ascii="Arial" w:hAnsi="Arial" w:cs="Arial"/>
          <w:sz w:val="20"/>
          <w:szCs w:val="20"/>
        </w:rPr>
        <w:t xml:space="preserve"> and how we plan to emulate these criteria using the UK CF Registry data.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2486B" w:rsidRPr="00A2486B" w14:paraId="3888594E" w14:textId="77777777" w:rsidTr="00C40B76">
        <w:tc>
          <w:tcPr>
            <w:tcW w:w="9016" w:type="dxa"/>
            <w:gridSpan w:val="2"/>
            <w:tcBorders>
              <w:top w:val="nil"/>
              <w:bottom w:val="single" w:sz="4" w:space="0" w:color="auto"/>
            </w:tcBorders>
          </w:tcPr>
          <w:p w14:paraId="01E7E6A8" w14:textId="6C345AB9" w:rsidR="00A2486B" w:rsidRPr="00A2486B" w:rsidRDefault="00A2486B" w:rsidP="00C40B76">
            <w:pPr>
              <w:rPr>
                <w:rFonts w:ascii="Arial" w:hAnsi="Arial" w:cs="Arial"/>
                <w:i/>
                <w:iCs/>
                <w:sz w:val="20"/>
                <w:szCs w:val="20"/>
              </w:rPr>
            </w:pPr>
            <w:r w:rsidRPr="00A2486B">
              <w:rPr>
                <w:rFonts w:ascii="Arial" w:hAnsi="Arial" w:cs="Arial"/>
                <w:i/>
                <w:iCs/>
                <w:sz w:val="20"/>
                <w:szCs w:val="20"/>
              </w:rPr>
              <w:t xml:space="preserve">Table </w:t>
            </w:r>
            <w:r w:rsidR="00735A03">
              <w:rPr>
                <w:rFonts w:ascii="Arial" w:hAnsi="Arial" w:cs="Arial"/>
                <w:i/>
                <w:iCs/>
                <w:sz w:val="20"/>
                <w:szCs w:val="20"/>
              </w:rPr>
              <w:t>5</w:t>
            </w:r>
            <w:r w:rsidRPr="00A2486B">
              <w:rPr>
                <w:rFonts w:ascii="Arial" w:hAnsi="Arial" w:cs="Arial"/>
                <w:i/>
                <w:iCs/>
                <w:sz w:val="20"/>
                <w:szCs w:val="20"/>
              </w:rPr>
              <w:t xml:space="preserve">: Eligibility criteria for target trial </w:t>
            </w:r>
            <w:r w:rsidR="00A331F6">
              <w:rPr>
                <w:rFonts w:ascii="Arial" w:hAnsi="Arial" w:cs="Arial"/>
                <w:i/>
                <w:iCs/>
                <w:sz w:val="20"/>
                <w:szCs w:val="20"/>
              </w:rPr>
              <w:t>2</w:t>
            </w:r>
            <w:r w:rsidRPr="00A2486B">
              <w:rPr>
                <w:rFonts w:ascii="Arial" w:hAnsi="Arial" w:cs="Arial"/>
                <w:i/>
                <w:iCs/>
                <w:sz w:val="20"/>
                <w:szCs w:val="20"/>
              </w:rPr>
              <w:t xml:space="preserve"> and the associated emulated trial </w:t>
            </w:r>
          </w:p>
        </w:tc>
      </w:tr>
      <w:tr w:rsidR="00726233" w:rsidRPr="00A2486B" w14:paraId="53D3465B" w14:textId="77777777" w:rsidTr="00C40B76">
        <w:tc>
          <w:tcPr>
            <w:tcW w:w="4508" w:type="dxa"/>
            <w:tcBorders>
              <w:top w:val="single" w:sz="4" w:space="0" w:color="auto"/>
            </w:tcBorders>
          </w:tcPr>
          <w:p w14:paraId="1FDFFD68" w14:textId="0C9238F0" w:rsidR="00726233" w:rsidRPr="00726233" w:rsidRDefault="00726233" w:rsidP="00074544">
            <w:pPr>
              <w:rPr>
                <w:rFonts w:ascii="Arial" w:hAnsi="Arial" w:cs="Arial"/>
                <w:b/>
                <w:bCs/>
                <w:sz w:val="20"/>
                <w:szCs w:val="20"/>
              </w:rPr>
            </w:pPr>
            <w:r w:rsidRPr="00726233">
              <w:rPr>
                <w:rFonts w:ascii="Arial" w:hAnsi="Arial" w:cs="Arial"/>
                <w:b/>
                <w:bCs/>
                <w:sz w:val="20"/>
                <w:szCs w:val="20"/>
              </w:rPr>
              <w:t>Target trial</w:t>
            </w:r>
          </w:p>
        </w:tc>
        <w:tc>
          <w:tcPr>
            <w:tcW w:w="4508" w:type="dxa"/>
            <w:tcBorders>
              <w:top w:val="single" w:sz="4" w:space="0" w:color="auto"/>
            </w:tcBorders>
          </w:tcPr>
          <w:p w14:paraId="6F095373" w14:textId="44EF728F" w:rsidR="00726233" w:rsidRPr="00726233" w:rsidRDefault="00726233" w:rsidP="00074544">
            <w:pPr>
              <w:rPr>
                <w:rFonts w:ascii="Arial" w:hAnsi="Arial" w:cs="Arial"/>
                <w:b/>
                <w:bCs/>
                <w:sz w:val="20"/>
                <w:szCs w:val="20"/>
              </w:rPr>
            </w:pPr>
            <w:r w:rsidRPr="00726233">
              <w:rPr>
                <w:rFonts w:ascii="Arial" w:hAnsi="Arial" w:cs="Arial"/>
                <w:b/>
                <w:bCs/>
                <w:sz w:val="20"/>
                <w:szCs w:val="20"/>
              </w:rPr>
              <w:t>Emulated trial</w:t>
            </w:r>
          </w:p>
        </w:tc>
      </w:tr>
      <w:tr w:rsidR="00074544" w:rsidRPr="00A2486B" w14:paraId="0F1AFF78" w14:textId="77777777" w:rsidTr="00C40B76">
        <w:tc>
          <w:tcPr>
            <w:tcW w:w="4508" w:type="dxa"/>
            <w:tcBorders>
              <w:top w:val="single" w:sz="4" w:space="0" w:color="auto"/>
            </w:tcBorders>
          </w:tcPr>
          <w:p w14:paraId="742CE8A7" w14:textId="46CC32D6" w:rsidR="00074544" w:rsidRPr="00EE69B1" w:rsidRDefault="00074544" w:rsidP="00074544">
            <w:pPr>
              <w:rPr>
                <w:rFonts w:ascii="Arial" w:hAnsi="Arial" w:cs="Arial"/>
                <w:sz w:val="20"/>
                <w:szCs w:val="20"/>
              </w:rPr>
            </w:pPr>
            <w:r w:rsidRPr="00EE69B1">
              <w:rPr>
                <w:rFonts w:ascii="Arial" w:hAnsi="Arial" w:cs="Arial"/>
                <w:sz w:val="20"/>
                <w:szCs w:val="20"/>
              </w:rPr>
              <w:t>Inclusion criteria:</w:t>
            </w:r>
          </w:p>
          <w:p w14:paraId="100879D1" w14:textId="798A5C7B" w:rsidR="00074544" w:rsidRPr="00EE69B1" w:rsidRDefault="00074544" w:rsidP="00074544">
            <w:pPr>
              <w:pStyle w:val="ListParagraph"/>
              <w:numPr>
                <w:ilvl w:val="0"/>
                <w:numId w:val="1"/>
              </w:numPr>
              <w:rPr>
                <w:rFonts w:ascii="Arial" w:hAnsi="Arial" w:cs="Arial"/>
                <w:sz w:val="20"/>
                <w:szCs w:val="20"/>
              </w:rPr>
            </w:pPr>
            <w:r w:rsidRPr="00EE69B1">
              <w:rPr>
                <w:rFonts w:ascii="Arial" w:hAnsi="Arial" w:cs="Arial"/>
                <w:sz w:val="20"/>
                <w:szCs w:val="20"/>
              </w:rPr>
              <w:t>Males or female aged 6 years and above</w:t>
            </w:r>
            <w:r w:rsidR="004C45CA">
              <w:rPr>
                <w:rFonts w:ascii="Arial" w:hAnsi="Arial" w:cs="Arial"/>
                <w:sz w:val="20"/>
                <w:szCs w:val="20"/>
              </w:rPr>
              <w:t>.</w:t>
            </w:r>
          </w:p>
          <w:p w14:paraId="303611EE" w14:textId="77777777" w:rsidR="00074544" w:rsidRPr="00EE69B1" w:rsidRDefault="00074544" w:rsidP="00074544">
            <w:pPr>
              <w:pStyle w:val="ListParagraph"/>
              <w:numPr>
                <w:ilvl w:val="0"/>
                <w:numId w:val="1"/>
              </w:numPr>
              <w:rPr>
                <w:rFonts w:ascii="Arial" w:hAnsi="Arial" w:cs="Arial"/>
                <w:sz w:val="20"/>
                <w:szCs w:val="20"/>
              </w:rPr>
            </w:pPr>
            <w:r w:rsidRPr="00EE69B1">
              <w:rPr>
                <w:rFonts w:ascii="Arial" w:hAnsi="Arial" w:cs="Arial"/>
                <w:sz w:val="20"/>
                <w:szCs w:val="20"/>
              </w:rPr>
              <w:t>Patients who are receiving Tobi in a cycle of 28 days active therapy followed by 28 days of rest from treatment.</w:t>
            </w:r>
          </w:p>
          <w:p w14:paraId="255AAA7C" w14:textId="77777777" w:rsidR="00074544" w:rsidRPr="00EE69B1" w:rsidRDefault="00074544" w:rsidP="00074544">
            <w:pPr>
              <w:pStyle w:val="ListParagraph"/>
              <w:numPr>
                <w:ilvl w:val="0"/>
                <w:numId w:val="1"/>
              </w:numPr>
              <w:rPr>
                <w:rFonts w:ascii="Arial" w:hAnsi="Arial" w:cs="Arial"/>
                <w:sz w:val="20"/>
                <w:szCs w:val="20"/>
              </w:rPr>
            </w:pPr>
            <w:r w:rsidRPr="00EE69B1">
              <w:rPr>
                <w:rFonts w:ascii="Arial" w:hAnsi="Arial" w:cs="Arial"/>
                <w:sz w:val="20"/>
                <w:szCs w:val="20"/>
              </w:rPr>
              <w:t>Patients who, on the first day of trial medication administration (Visit 1), will have received a minimum of 2 Tobi on/off cycles immediately prior to randomisation.</w:t>
            </w:r>
          </w:p>
          <w:p w14:paraId="224B146A" w14:textId="32D2C3C4" w:rsidR="00074544" w:rsidRPr="00EE69B1" w:rsidRDefault="00074544" w:rsidP="00074544">
            <w:pPr>
              <w:pStyle w:val="ListParagraph"/>
              <w:numPr>
                <w:ilvl w:val="0"/>
                <w:numId w:val="1"/>
              </w:numPr>
              <w:rPr>
                <w:rFonts w:ascii="Arial" w:hAnsi="Arial" w:cs="Arial"/>
                <w:sz w:val="20"/>
                <w:szCs w:val="20"/>
              </w:rPr>
            </w:pPr>
            <w:r w:rsidRPr="00EE69B1">
              <w:rPr>
                <w:rFonts w:ascii="Arial" w:hAnsi="Arial" w:cs="Arial"/>
                <w:sz w:val="20"/>
                <w:szCs w:val="20"/>
              </w:rPr>
              <w:t>If the patient is female and post-menarche/pre-menopausal and heterosexually active, the patient must be using adequate effective contraceptive methods</w:t>
            </w:r>
            <w:r w:rsidR="00E9646B">
              <w:rPr>
                <w:rFonts w:ascii="Arial" w:hAnsi="Arial" w:cs="Arial"/>
                <w:sz w:val="20"/>
                <w:szCs w:val="20"/>
              </w:rPr>
              <w:t>.</w:t>
            </w:r>
          </w:p>
          <w:p w14:paraId="355AF748" w14:textId="5BCE0E83" w:rsidR="00074544" w:rsidRPr="00EE69B1" w:rsidRDefault="00074544" w:rsidP="00074544">
            <w:pPr>
              <w:pStyle w:val="ListParagraph"/>
              <w:numPr>
                <w:ilvl w:val="0"/>
                <w:numId w:val="1"/>
              </w:numPr>
              <w:rPr>
                <w:rFonts w:ascii="Arial" w:hAnsi="Arial" w:cs="Arial"/>
                <w:sz w:val="20"/>
                <w:szCs w:val="20"/>
              </w:rPr>
            </w:pPr>
            <w:r w:rsidRPr="00EE69B1">
              <w:rPr>
                <w:rFonts w:ascii="Arial" w:hAnsi="Arial" w:cs="Arial"/>
                <w:sz w:val="20"/>
                <w:szCs w:val="20"/>
              </w:rPr>
              <w:t xml:space="preserve">Patients are required to be non-smokers or a past smoker who has not smoked within the past 12 months prior to </w:t>
            </w:r>
            <w:r w:rsidR="00E9646B">
              <w:rPr>
                <w:rFonts w:ascii="Arial" w:hAnsi="Arial" w:cs="Arial"/>
                <w:sz w:val="20"/>
                <w:szCs w:val="20"/>
              </w:rPr>
              <w:t>Visit 1.</w:t>
            </w:r>
          </w:p>
          <w:p w14:paraId="7DCD57A6" w14:textId="77777777" w:rsidR="00074544" w:rsidRPr="00EE69B1" w:rsidRDefault="00074544" w:rsidP="00074544">
            <w:pPr>
              <w:pStyle w:val="ListParagraph"/>
              <w:numPr>
                <w:ilvl w:val="0"/>
                <w:numId w:val="1"/>
              </w:numPr>
              <w:rPr>
                <w:rFonts w:ascii="Arial" w:hAnsi="Arial" w:cs="Arial"/>
                <w:sz w:val="20"/>
                <w:szCs w:val="20"/>
              </w:rPr>
            </w:pPr>
            <w:r w:rsidRPr="00EE69B1">
              <w:rPr>
                <w:rFonts w:ascii="Arial" w:hAnsi="Arial" w:cs="Arial"/>
                <w:sz w:val="20"/>
                <w:szCs w:val="20"/>
              </w:rPr>
              <w:t>Each patient or parent/guardian must be capable to reading and understanding informed consent and the clinical trial information leaflet.</w:t>
            </w:r>
          </w:p>
          <w:p w14:paraId="49A87AFB" w14:textId="0B0FA104" w:rsidR="00074544" w:rsidRPr="00EE69B1" w:rsidRDefault="00074544" w:rsidP="00074544">
            <w:pPr>
              <w:pStyle w:val="ListParagraph"/>
              <w:numPr>
                <w:ilvl w:val="0"/>
                <w:numId w:val="1"/>
              </w:numPr>
              <w:rPr>
                <w:rFonts w:ascii="Arial" w:hAnsi="Arial" w:cs="Arial"/>
                <w:sz w:val="20"/>
                <w:szCs w:val="20"/>
              </w:rPr>
            </w:pPr>
            <w:r w:rsidRPr="00EE69B1">
              <w:rPr>
                <w:rFonts w:ascii="Arial" w:hAnsi="Arial" w:cs="Arial"/>
                <w:sz w:val="20"/>
                <w:szCs w:val="20"/>
              </w:rPr>
              <w:t>Patients must have a documented diagnosis of CF from a specialist CF unit (genotype and/or positive sweat tests)</w:t>
            </w:r>
            <w:r w:rsidR="00E9646B">
              <w:rPr>
                <w:rFonts w:ascii="Arial" w:hAnsi="Arial" w:cs="Arial"/>
                <w:sz w:val="20"/>
                <w:szCs w:val="20"/>
              </w:rPr>
              <w:t>.</w:t>
            </w:r>
          </w:p>
          <w:p w14:paraId="3A5D9AB6" w14:textId="20D00C52" w:rsidR="00074544" w:rsidRPr="00EE69B1" w:rsidRDefault="00074544" w:rsidP="00E9646B">
            <w:pPr>
              <w:pStyle w:val="ListParagraph"/>
              <w:numPr>
                <w:ilvl w:val="0"/>
                <w:numId w:val="1"/>
              </w:numPr>
              <w:rPr>
                <w:rFonts w:ascii="Arial" w:hAnsi="Arial" w:cs="Arial"/>
                <w:sz w:val="20"/>
                <w:szCs w:val="20"/>
              </w:rPr>
            </w:pPr>
            <w:r w:rsidRPr="00EE69B1">
              <w:rPr>
                <w:rFonts w:ascii="Arial" w:hAnsi="Arial" w:cs="Arial"/>
                <w:sz w:val="20"/>
                <w:szCs w:val="20"/>
              </w:rPr>
              <w:t xml:space="preserve">Current CF condition must be clinically stable in the </w:t>
            </w:r>
            <w:r w:rsidR="00E9646B" w:rsidRPr="00EE69B1">
              <w:rPr>
                <w:rFonts w:ascii="Arial" w:hAnsi="Arial" w:cs="Arial"/>
                <w:sz w:val="20"/>
                <w:szCs w:val="20"/>
              </w:rPr>
              <w:t>investigator’s</w:t>
            </w:r>
            <w:r w:rsidRPr="00EE69B1">
              <w:rPr>
                <w:rFonts w:ascii="Arial" w:hAnsi="Arial" w:cs="Arial"/>
                <w:sz w:val="20"/>
                <w:szCs w:val="20"/>
              </w:rPr>
              <w:t xml:space="preserve"> opinion i.e., there must be no evidence of a current acute respiratory exacerbation at Visit 1. </w:t>
            </w:r>
          </w:p>
          <w:p w14:paraId="340503B9" w14:textId="02C51EAB" w:rsidR="00074544" w:rsidRPr="00EE69B1" w:rsidRDefault="00074544" w:rsidP="00074544">
            <w:pPr>
              <w:pStyle w:val="ListParagraph"/>
              <w:numPr>
                <w:ilvl w:val="0"/>
                <w:numId w:val="1"/>
              </w:numPr>
              <w:rPr>
                <w:rFonts w:ascii="Arial" w:hAnsi="Arial" w:cs="Arial"/>
                <w:sz w:val="20"/>
                <w:szCs w:val="20"/>
              </w:rPr>
            </w:pPr>
            <w:r w:rsidRPr="00EE69B1">
              <w:rPr>
                <w:rFonts w:ascii="Arial" w:hAnsi="Arial" w:cs="Arial"/>
                <w:sz w:val="20"/>
                <w:szCs w:val="20"/>
              </w:rPr>
              <w:t>FEV</w:t>
            </w:r>
            <w:r w:rsidRPr="00E9646B">
              <w:rPr>
                <w:rFonts w:ascii="Arial" w:hAnsi="Arial" w:cs="Arial"/>
                <w:sz w:val="20"/>
                <w:szCs w:val="20"/>
                <w:vertAlign w:val="subscript"/>
              </w:rPr>
              <w:t>1</w:t>
            </w:r>
            <w:r w:rsidR="00E9646B">
              <w:rPr>
                <w:rFonts w:ascii="Arial" w:hAnsi="Arial" w:cs="Arial"/>
                <w:sz w:val="20"/>
                <w:szCs w:val="20"/>
              </w:rPr>
              <w:t xml:space="preserve">% </w:t>
            </w:r>
            <w:r w:rsidRPr="00EE69B1">
              <w:rPr>
                <w:rFonts w:ascii="Arial" w:hAnsi="Arial" w:cs="Arial"/>
                <w:sz w:val="20"/>
                <w:szCs w:val="20"/>
              </w:rPr>
              <w:t xml:space="preserve">must be at least 25% but no more than 75%. </w:t>
            </w:r>
          </w:p>
          <w:p w14:paraId="3CA3AB21" w14:textId="17213BAB" w:rsidR="004B2C05" w:rsidRDefault="00074544" w:rsidP="004B2C05">
            <w:pPr>
              <w:pStyle w:val="ListParagraph"/>
              <w:numPr>
                <w:ilvl w:val="0"/>
                <w:numId w:val="1"/>
              </w:numPr>
              <w:rPr>
                <w:rFonts w:ascii="Arial" w:hAnsi="Arial" w:cs="Arial"/>
                <w:sz w:val="20"/>
                <w:szCs w:val="20"/>
              </w:rPr>
            </w:pPr>
            <w:r w:rsidRPr="00EE69B1">
              <w:rPr>
                <w:rFonts w:ascii="Arial" w:hAnsi="Arial" w:cs="Arial"/>
                <w:sz w:val="20"/>
                <w:szCs w:val="20"/>
              </w:rPr>
              <w:t xml:space="preserve">Patients with </w:t>
            </w:r>
            <w:r w:rsidRPr="00B066BD">
              <w:rPr>
                <w:rFonts w:ascii="Arial" w:hAnsi="Arial" w:cs="Arial"/>
                <w:i/>
                <w:iCs/>
                <w:sz w:val="20"/>
                <w:szCs w:val="20"/>
              </w:rPr>
              <w:t>Pseudomonas aeruginosa</w:t>
            </w:r>
            <w:r w:rsidR="00234278">
              <w:rPr>
                <w:rFonts w:ascii="Arial" w:hAnsi="Arial" w:cs="Arial"/>
                <w:i/>
                <w:iCs/>
                <w:sz w:val="20"/>
                <w:szCs w:val="20"/>
              </w:rPr>
              <w:t xml:space="preserve"> </w:t>
            </w:r>
            <w:r w:rsidR="00234278" w:rsidRPr="00234278">
              <w:rPr>
                <w:rFonts w:ascii="Arial" w:hAnsi="Arial" w:cs="Arial"/>
                <w:sz w:val="20"/>
                <w:szCs w:val="20"/>
              </w:rPr>
              <w:t>(PA)</w:t>
            </w:r>
            <w:r w:rsidRPr="00EE69B1">
              <w:rPr>
                <w:rFonts w:ascii="Arial" w:hAnsi="Arial" w:cs="Arial"/>
                <w:sz w:val="20"/>
                <w:szCs w:val="20"/>
              </w:rPr>
              <w:t xml:space="preserve"> infection (including colonisation), defined as either:</w:t>
            </w:r>
          </w:p>
          <w:p w14:paraId="5D977B6E" w14:textId="77777777" w:rsidR="004B2C05" w:rsidRDefault="00074544" w:rsidP="004B2C05">
            <w:pPr>
              <w:pStyle w:val="ListParagraph"/>
              <w:numPr>
                <w:ilvl w:val="1"/>
                <w:numId w:val="1"/>
              </w:numPr>
              <w:rPr>
                <w:rFonts w:ascii="Arial" w:hAnsi="Arial" w:cs="Arial"/>
                <w:sz w:val="20"/>
                <w:szCs w:val="20"/>
              </w:rPr>
            </w:pPr>
            <w:r w:rsidRPr="004B2C05">
              <w:rPr>
                <w:rFonts w:ascii="Arial" w:hAnsi="Arial" w:cs="Arial"/>
                <w:sz w:val="20"/>
                <w:szCs w:val="20"/>
              </w:rPr>
              <w:t>≥ 50% samples (minimum of 3 samples: sputum samples or throat swabs) positive for PA over the previous 12 months prior to the first day of trial medication administration (Visit 1) OR</w:t>
            </w:r>
          </w:p>
          <w:p w14:paraId="1D3B5D26" w14:textId="77777777" w:rsidR="004B2C05" w:rsidRDefault="00074544" w:rsidP="004B2C05">
            <w:pPr>
              <w:pStyle w:val="ListParagraph"/>
              <w:numPr>
                <w:ilvl w:val="1"/>
                <w:numId w:val="1"/>
              </w:numPr>
              <w:rPr>
                <w:rFonts w:ascii="Arial" w:hAnsi="Arial" w:cs="Arial"/>
                <w:sz w:val="20"/>
                <w:szCs w:val="20"/>
              </w:rPr>
            </w:pPr>
            <w:r w:rsidRPr="004B2C05">
              <w:rPr>
                <w:rFonts w:ascii="Arial" w:hAnsi="Arial" w:cs="Arial"/>
                <w:sz w:val="20"/>
                <w:szCs w:val="20"/>
              </w:rPr>
              <w:lastRenderedPageBreak/>
              <w:t>two samples (sputum samples or throat swabs) positive for PA over the previous 6 months prior to the first day of trial medication administration (Visit 1).</w:t>
            </w:r>
          </w:p>
          <w:p w14:paraId="0B6AA7E6" w14:textId="626DEB0B" w:rsidR="004B2C05" w:rsidRDefault="004B2C05" w:rsidP="004B2C05">
            <w:pPr>
              <w:pStyle w:val="ListParagraph"/>
              <w:numPr>
                <w:ilvl w:val="0"/>
                <w:numId w:val="1"/>
              </w:numPr>
              <w:rPr>
                <w:rFonts w:ascii="Arial" w:hAnsi="Arial" w:cs="Arial"/>
                <w:sz w:val="20"/>
                <w:szCs w:val="20"/>
              </w:rPr>
            </w:pPr>
            <w:r w:rsidRPr="004B2C05">
              <w:rPr>
                <w:rFonts w:ascii="Arial" w:hAnsi="Arial" w:cs="Arial"/>
                <w:sz w:val="20"/>
                <w:szCs w:val="20"/>
              </w:rPr>
              <w:t>Patients’</w:t>
            </w:r>
            <w:r w:rsidR="00074544" w:rsidRPr="004B2C05">
              <w:rPr>
                <w:rFonts w:ascii="Arial" w:hAnsi="Arial" w:cs="Arial"/>
                <w:sz w:val="20"/>
                <w:szCs w:val="20"/>
              </w:rPr>
              <w:t xml:space="preserve"> lung function must be clinically stable (investigators decision) after completing IV therapy (elective or treatment for exacerbation) at Visit 1 prior to randomisation</w:t>
            </w:r>
            <w:r w:rsidR="004E3E7B" w:rsidRPr="004B2C05">
              <w:rPr>
                <w:rFonts w:ascii="Arial" w:hAnsi="Arial" w:cs="Arial"/>
                <w:sz w:val="20"/>
                <w:szCs w:val="20"/>
              </w:rPr>
              <w:t>.</w:t>
            </w:r>
          </w:p>
          <w:p w14:paraId="6871B29B" w14:textId="44FBD016" w:rsidR="00074544" w:rsidRPr="004B2C05" w:rsidRDefault="00074544" w:rsidP="004B2C05">
            <w:pPr>
              <w:pStyle w:val="ListParagraph"/>
              <w:numPr>
                <w:ilvl w:val="0"/>
                <w:numId w:val="1"/>
              </w:numPr>
              <w:rPr>
                <w:rFonts w:ascii="Arial" w:hAnsi="Arial" w:cs="Arial"/>
                <w:sz w:val="20"/>
                <w:szCs w:val="20"/>
              </w:rPr>
            </w:pPr>
            <w:r w:rsidRPr="004B2C05">
              <w:rPr>
                <w:rFonts w:ascii="Arial" w:hAnsi="Arial" w:cs="Arial"/>
                <w:sz w:val="20"/>
                <w:szCs w:val="20"/>
              </w:rPr>
              <w:t xml:space="preserve">Patients who, on the first day of trial medication administration, will have had at least 28 but no more than 35 days off TOBI. </w:t>
            </w:r>
          </w:p>
          <w:p w14:paraId="6CDDD898" w14:textId="77777777" w:rsidR="00074544" w:rsidRPr="00EE69B1" w:rsidRDefault="00074544" w:rsidP="00074544">
            <w:pPr>
              <w:pStyle w:val="ListParagraph"/>
              <w:ind w:left="0"/>
              <w:rPr>
                <w:rFonts w:ascii="Arial" w:hAnsi="Arial" w:cs="Arial"/>
                <w:sz w:val="20"/>
                <w:szCs w:val="20"/>
              </w:rPr>
            </w:pPr>
          </w:p>
          <w:p w14:paraId="15CB3BD4" w14:textId="77777777" w:rsidR="00074544" w:rsidRPr="00EE69B1" w:rsidRDefault="00074544" w:rsidP="00074544">
            <w:pPr>
              <w:pStyle w:val="ListParagraph"/>
              <w:ind w:left="0"/>
              <w:rPr>
                <w:rFonts w:ascii="Arial" w:hAnsi="Arial" w:cs="Arial"/>
                <w:sz w:val="20"/>
                <w:szCs w:val="20"/>
              </w:rPr>
            </w:pPr>
            <w:r w:rsidRPr="00EE69B1">
              <w:rPr>
                <w:rFonts w:ascii="Arial" w:hAnsi="Arial" w:cs="Arial"/>
                <w:sz w:val="20"/>
                <w:szCs w:val="20"/>
              </w:rPr>
              <w:t>Exclusion criteria:</w:t>
            </w:r>
          </w:p>
          <w:p w14:paraId="409F19CA" w14:textId="2A17C961" w:rsidR="00074544" w:rsidRPr="00EE69B1" w:rsidRDefault="00074544" w:rsidP="001A3E2E">
            <w:pPr>
              <w:pStyle w:val="ListParagraph"/>
              <w:numPr>
                <w:ilvl w:val="0"/>
                <w:numId w:val="10"/>
              </w:numPr>
              <w:rPr>
                <w:rFonts w:ascii="Arial" w:hAnsi="Arial" w:cs="Arial"/>
                <w:sz w:val="20"/>
                <w:szCs w:val="20"/>
              </w:rPr>
            </w:pPr>
            <w:r w:rsidRPr="00EE69B1">
              <w:rPr>
                <w:rFonts w:ascii="Arial" w:hAnsi="Arial" w:cs="Arial"/>
                <w:sz w:val="20"/>
                <w:szCs w:val="20"/>
              </w:rPr>
              <w:t>Known sensitivity, or previous intolerance, to colistimethate sodium o</w:t>
            </w:r>
            <w:r w:rsidR="00EE21F5">
              <w:rPr>
                <w:rFonts w:ascii="Arial" w:hAnsi="Arial" w:cs="Arial"/>
                <w:sz w:val="20"/>
                <w:szCs w:val="20"/>
              </w:rPr>
              <w:t>r</w:t>
            </w:r>
            <w:r w:rsidRPr="00EE69B1">
              <w:rPr>
                <w:rFonts w:ascii="Arial" w:hAnsi="Arial" w:cs="Arial"/>
                <w:sz w:val="20"/>
                <w:szCs w:val="20"/>
              </w:rPr>
              <w:t xml:space="preserve"> beta2 agnoists. </w:t>
            </w:r>
          </w:p>
          <w:p w14:paraId="32AD38DE" w14:textId="2FF926BF" w:rsidR="00074544" w:rsidRPr="00EE69B1" w:rsidRDefault="00074544" w:rsidP="001A3E2E">
            <w:pPr>
              <w:pStyle w:val="ListParagraph"/>
              <w:numPr>
                <w:ilvl w:val="0"/>
                <w:numId w:val="10"/>
              </w:numPr>
              <w:rPr>
                <w:rFonts w:ascii="Arial" w:hAnsi="Arial" w:cs="Arial"/>
                <w:sz w:val="20"/>
                <w:szCs w:val="20"/>
              </w:rPr>
            </w:pPr>
            <w:r w:rsidRPr="00EE69B1">
              <w:rPr>
                <w:rFonts w:ascii="Arial" w:hAnsi="Arial" w:cs="Arial"/>
                <w:sz w:val="20"/>
                <w:szCs w:val="20"/>
              </w:rPr>
              <w:t>Administration of any investigational drug within 28 days prior to first trial medication administration</w:t>
            </w:r>
            <w:r w:rsidR="004E3E7B">
              <w:rPr>
                <w:rFonts w:ascii="Arial" w:hAnsi="Arial" w:cs="Arial"/>
                <w:sz w:val="20"/>
                <w:szCs w:val="20"/>
              </w:rPr>
              <w:t>.</w:t>
            </w:r>
            <w:r w:rsidRPr="00EE69B1">
              <w:rPr>
                <w:rFonts w:ascii="Arial" w:hAnsi="Arial" w:cs="Arial"/>
                <w:sz w:val="20"/>
                <w:szCs w:val="20"/>
              </w:rPr>
              <w:t xml:space="preserve"> </w:t>
            </w:r>
          </w:p>
          <w:p w14:paraId="3A6B785D" w14:textId="045036E5" w:rsidR="00074544" w:rsidRPr="00EE69B1" w:rsidRDefault="00074544" w:rsidP="001A3E2E">
            <w:pPr>
              <w:pStyle w:val="ListParagraph"/>
              <w:numPr>
                <w:ilvl w:val="0"/>
                <w:numId w:val="10"/>
              </w:numPr>
              <w:rPr>
                <w:rFonts w:ascii="Arial" w:hAnsi="Arial" w:cs="Arial"/>
                <w:sz w:val="20"/>
                <w:szCs w:val="20"/>
              </w:rPr>
            </w:pPr>
            <w:r w:rsidRPr="00EE69B1">
              <w:rPr>
                <w:rFonts w:ascii="Arial" w:hAnsi="Arial" w:cs="Arial"/>
                <w:sz w:val="20"/>
                <w:szCs w:val="20"/>
              </w:rPr>
              <w:t xml:space="preserve">Patients who have received treatment which has permanently reduced </w:t>
            </w:r>
            <w:r w:rsidRPr="009B567E">
              <w:rPr>
                <w:rFonts w:ascii="Arial" w:hAnsi="Arial" w:cs="Arial"/>
                <w:i/>
                <w:iCs/>
                <w:sz w:val="20"/>
                <w:szCs w:val="20"/>
              </w:rPr>
              <w:t xml:space="preserve">Pseudomonas aeruginosa </w:t>
            </w:r>
            <w:r w:rsidRPr="00EE69B1">
              <w:rPr>
                <w:rFonts w:ascii="Arial" w:hAnsi="Arial" w:cs="Arial"/>
                <w:sz w:val="20"/>
                <w:szCs w:val="20"/>
              </w:rPr>
              <w:t>infection status will not be included (e.g., effective anti-pseudomonal vaccination and gene therapy)</w:t>
            </w:r>
            <w:r w:rsidR="004E3E7B">
              <w:rPr>
                <w:rFonts w:ascii="Arial" w:hAnsi="Arial" w:cs="Arial"/>
                <w:sz w:val="20"/>
                <w:szCs w:val="20"/>
              </w:rPr>
              <w:t>.</w:t>
            </w:r>
          </w:p>
          <w:p w14:paraId="47F547D9" w14:textId="1456A9F0" w:rsidR="00074544" w:rsidRPr="00EE69B1" w:rsidRDefault="00074544" w:rsidP="001A3E2E">
            <w:pPr>
              <w:pStyle w:val="ListParagraph"/>
              <w:numPr>
                <w:ilvl w:val="0"/>
                <w:numId w:val="10"/>
              </w:numPr>
              <w:rPr>
                <w:rFonts w:ascii="Arial" w:hAnsi="Arial" w:cs="Arial"/>
                <w:sz w:val="20"/>
                <w:szCs w:val="20"/>
              </w:rPr>
            </w:pPr>
            <w:r w:rsidRPr="00EE69B1">
              <w:rPr>
                <w:rFonts w:ascii="Arial" w:hAnsi="Arial" w:cs="Arial"/>
                <w:sz w:val="20"/>
                <w:szCs w:val="20"/>
              </w:rPr>
              <w:t>Existence of any pre-study medical conditions which, in the judgement of the investigator, warrants exclusion from the study</w:t>
            </w:r>
            <w:r w:rsidR="004E3E7B">
              <w:rPr>
                <w:rFonts w:ascii="Arial" w:hAnsi="Arial" w:cs="Arial"/>
                <w:sz w:val="20"/>
                <w:szCs w:val="20"/>
              </w:rPr>
              <w:t>.</w:t>
            </w:r>
          </w:p>
          <w:p w14:paraId="27D23549" w14:textId="5BC21F3F" w:rsidR="00074544" w:rsidRPr="00EE69B1" w:rsidRDefault="00074544" w:rsidP="001A3E2E">
            <w:pPr>
              <w:pStyle w:val="ListParagraph"/>
              <w:numPr>
                <w:ilvl w:val="0"/>
                <w:numId w:val="10"/>
              </w:numPr>
              <w:rPr>
                <w:rFonts w:ascii="Arial" w:hAnsi="Arial" w:cs="Arial"/>
                <w:sz w:val="20"/>
                <w:szCs w:val="20"/>
              </w:rPr>
            </w:pPr>
            <w:r w:rsidRPr="00EE69B1">
              <w:rPr>
                <w:rFonts w:ascii="Arial" w:hAnsi="Arial" w:cs="Arial"/>
                <w:sz w:val="20"/>
                <w:szCs w:val="20"/>
              </w:rPr>
              <w:t>Patients who are pregnant or breast-feeding, or who plan to become pregnant during the study period</w:t>
            </w:r>
            <w:r w:rsidR="004E3E7B">
              <w:rPr>
                <w:rFonts w:ascii="Arial" w:hAnsi="Arial" w:cs="Arial"/>
                <w:sz w:val="20"/>
                <w:szCs w:val="20"/>
              </w:rPr>
              <w:t>.</w:t>
            </w:r>
          </w:p>
          <w:p w14:paraId="4653091C" w14:textId="77777777" w:rsidR="00074544" w:rsidRPr="00EE69B1" w:rsidRDefault="00074544" w:rsidP="001A3E2E">
            <w:pPr>
              <w:pStyle w:val="ListParagraph"/>
              <w:numPr>
                <w:ilvl w:val="0"/>
                <w:numId w:val="10"/>
              </w:numPr>
              <w:rPr>
                <w:rFonts w:ascii="Arial" w:hAnsi="Arial" w:cs="Arial"/>
                <w:sz w:val="20"/>
                <w:szCs w:val="20"/>
              </w:rPr>
            </w:pPr>
            <w:r w:rsidRPr="00EE69B1">
              <w:rPr>
                <w:rFonts w:ascii="Arial" w:hAnsi="Arial" w:cs="Arial"/>
                <w:sz w:val="20"/>
                <w:szCs w:val="20"/>
              </w:rPr>
              <w:t>Inability to communicate or co-operate with the investigator due to language problems, poor mental development or impaired cerebral function.</w:t>
            </w:r>
          </w:p>
          <w:p w14:paraId="7A915DF8" w14:textId="3BD130D6" w:rsidR="00074544" w:rsidRPr="00EE69B1" w:rsidRDefault="00074544" w:rsidP="001A3E2E">
            <w:pPr>
              <w:pStyle w:val="ListParagraph"/>
              <w:numPr>
                <w:ilvl w:val="0"/>
                <w:numId w:val="10"/>
              </w:numPr>
              <w:rPr>
                <w:rFonts w:ascii="Arial" w:hAnsi="Arial" w:cs="Arial"/>
                <w:sz w:val="20"/>
                <w:szCs w:val="20"/>
              </w:rPr>
            </w:pPr>
            <w:r w:rsidRPr="00EE69B1">
              <w:rPr>
                <w:rFonts w:ascii="Arial" w:hAnsi="Arial" w:cs="Arial"/>
                <w:sz w:val="20"/>
                <w:szCs w:val="20"/>
              </w:rPr>
              <w:t xml:space="preserve">Objection by the patient’s usual CF </w:t>
            </w:r>
            <w:r w:rsidR="009B567E" w:rsidRPr="00EE69B1">
              <w:rPr>
                <w:rFonts w:ascii="Arial" w:hAnsi="Arial" w:cs="Arial"/>
                <w:sz w:val="20"/>
                <w:szCs w:val="20"/>
              </w:rPr>
              <w:t>caregiver</w:t>
            </w:r>
            <w:r w:rsidRPr="00EE69B1">
              <w:rPr>
                <w:rFonts w:ascii="Arial" w:hAnsi="Arial" w:cs="Arial"/>
                <w:sz w:val="20"/>
                <w:szCs w:val="20"/>
              </w:rPr>
              <w:t xml:space="preserve"> to their participation in the study</w:t>
            </w:r>
            <w:r w:rsidR="004E3E7B">
              <w:rPr>
                <w:rFonts w:ascii="Arial" w:hAnsi="Arial" w:cs="Arial"/>
                <w:sz w:val="20"/>
                <w:szCs w:val="20"/>
              </w:rPr>
              <w:t>.</w:t>
            </w:r>
          </w:p>
          <w:p w14:paraId="35CEFB64" w14:textId="41CF649C" w:rsidR="00074544" w:rsidRPr="00EE69B1" w:rsidRDefault="00074544" w:rsidP="001A3E2E">
            <w:pPr>
              <w:pStyle w:val="ListParagraph"/>
              <w:numPr>
                <w:ilvl w:val="0"/>
                <w:numId w:val="10"/>
              </w:numPr>
              <w:rPr>
                <w:rFonts w:ascii="Arial" w:hAnsi="Arial" w:cs="Arial"/>
                <w:sz w:val="20"/>
                <w:szCs w:val="20"/>
              </w:rPr>
            </w:pPr>
            <w:r w:rsidRPr="00EE69B1">
              <w:rPr>
                <w:rFonts w:ascii="Arial" w:hAnsi="Arial" w:cs="Arial"/>
                <w:sz w:val="20"/>
                <w:szCs w:val="20"/>
              </w:rPr>
              <w:t>Inability to comply with any of the study procedures or the study regimen (including inability to use study devices)</w:t>
            </w:r>
            <w:r w:rsidR="004E3E7B">
              <w:rPr>
                <w:rFonts w:ascii="Arial" w:hAnsi="Arial" w:cs="Arial"/>
                <w:sz w:val="20"/>
                <w:szCs w:val="20"/>
              </w:rPr>
              <w:t>.</w:t>
            </w:r>
          </w:p>
          <w:p w14:paraId="608EEE63" w14:textId="4C538418" w:rsidR="00074544" w:rsidRPr="00EE69B1" w:rsidRDefault="00074544" w:rsidP="001A3E2E">
            <w:pPr>
              <w:pStyle w:val="ListParagraph"/>
              <w:numPr>
                <w:ilvl w:val="0"/>
                <w:numId w:val="10"/>
              </w:numPr>
              <w:rPr>
                <w:rFonts w:ascii="Arial" w:hAnsi="Arial" w:cs="Arial"/>
                <w:sz w:val="20"/>
                <w:szCs w:val="20"/>
              </w:rPr>
            </w:pPr>
            <w:r w:rsidRPr="00EE69B1">
              <w:rPr>
                <w:rFonts w:ascii="Arial" w:hAnsi="Arial" w:cs="Arial"/>
                <w:sz w:val="20"/>
                <w:szCs w:val="20"/>
              </w:rPr>
              <w:t>Laboratory parameters failing outside the expected normal ranges for CF (investigator decision)</w:t>
            </w:r>
            <w:r w:rsidR="004E3E7B">
              <w:rPr>
                <w:rFonts w:ascii="Arial" w:hAnsi="Arial" w:cs="Arial"/>
                <w:sz w:val="20"/>
                <w:szCs w:val="20"/>
              </w:rPr>
              <w:t>.</w:t>
            </w:r>
          </w:p>
          <w:p w14:paraId="665C3B9B" w14:textId="3AFF7B3D" w:rsidR="00074544" w:rsidRPr="00EE69B1" w:rsidRDefault="00074544" w:rsidP="001A3E2E">
            <w:pPr>
              <w:pStyle w:val="ListParagraph"/>
              <w:numPr>
                <w:ilvl w:val="0"/>
                <w:numId w:val="10"/>
              </w:numPr>
              <w:rPr>
                <w:rFonts w:ascii="Arial" w:hAnsi="Arial" w:cs="Arial"/>
                <w:sz w:val="20"/>
                <w:szCs w:val="20"/>
              </w:rPr>
            </w:pPr>
            <w:r w:rsidRPr="00EE69B1">
              <w:rPr>
                <w:rFonts w:ascii="Arial" w:hAnsi="Arial" w:cs="Arial"/>
                <w:sz w:val="20"/>
                <w:szCs w:val="20"/>
              </w:rPr>
              <w:t>Children who in the opinion of the investigator would not be reliable in handling the devices</w:t>
            </w:r>
            <w:r w:rsidR="004E3E7B">
              <w:rPr>
                <w:rFonts w:ascii="Arial" w:hAnsi="Arial" w:cs="Arial"/>
                <w:sz w:val="20"/>
                <w:szCs w:val="20"/>
              </w:rPr>
              <w:t>.</w:t>
            </w:r>
          </w:p>
          <w:p w14:paraId="7B679BDF" w14:textId="2DE51A52" w:rsidR="00074544" w:rsidRPr="00EE69B1" w:rsidRDefault="00074544" w:rsidP="001A3E2E">
            <w:pPr>
              <w:pStyle w:val="ListParagraph"/>
              <w:numPr>
                <w:ilvl w:val="0"/>
                <w:numId w:val="10"/>
              </w:numPr>
              <w:rPr>
                <w:rFonts w:ascii="Arial" w:hAnsi="Arial" w:cs="Arial"/>
                <w:sz w:val="20"/>
                <w:szCs w:val="20"/>
              </w:rPr>
            </w:pPr>
            <w:r w:rsidRPr="00EE69B1">
              <w:rPr>
                <w:rFonts w:ascii="Arial" w:hAnsi="Arial" w:cs="Arial"/>
                <w:sz w:val="20"/>
                <w:szCs w:val="20"/>
              </w:rPr>
              <w:t xml:space="preserve">Patients who, </w:t>
            </w:r>
            <w:r w:rsidR="00536C5F">
              <w:rPr>
                <w:rFonts w:ascii="Arial" w:hAnsi="Arial" w:cs="Arial"/>
                <w:sz w:val="20"/>
                <w:szCs w:val="20"/>
              </w:rPr>
              <w:t>at Visit 1</w:t>
            </w:r>
            <w:r w:rsidRPr="00EE69B1">
              <w:rPr>
                <w:rFonts w:ascii="Arial" w:hAnsi="Arial" w:cs="Arial"/>
                <w:sz w:val="20"/>
                <w:szCs w:val="20"/>
              </w:rPr>
              <w:t xml:space="preserve">, will have had less than 28 days off inhaled colistin. </w:t>
            </w:r>
          </w:p>
          <w:p w14:paraId="50D3AFCC" w14:textId="4164CBA0" w:rsidR="00074544" w:rsidRPr="00EE69B1" w:rsidRDefault="00074544" w:rsidP="001A3E2E">
            <w:pPr>
              <w:pStyle w:val="ListParagraph"/>
              <w:numPr>
                <w:ilvl w:val="0"/>
                <w:numId w:val="10"/>
              </w:numPr>
              <w:rPr>
                <w:rFonts w:ascii="Arial" w:hAnsi="Arial" w:cs="Arial"/>
                <w:sz w:val="20"/>
                <w:szCs w:val="20"/>
              </w:rPr>
            </w:pPr>
            <w:r w:rsidRPr="00EE69B1">
              <w:rPr>
                <w:rFonts w:ascii="Arial" w:hAnsi="Arial" w:cs="Arial"/>
                <w:sz w:val="20"/>
                <w:szCs w:val="20"/>
              </w:rPr>
              <w:t xml:space="preserve">Patients who, </w:t>
            </w:r>
            <w:r w:rsidR="00536C5F">
              <w:rPr>
                <w:rFonts w:ascii="Arial" w:hAnsi="Arial" w:cs="Arial"/>
                <w:sz w:val="20"/>
                <w:szCs w:val="20"/>
              </w:rPr>
              <w:t>at Visit 1</w:t>
            </w:r>
            <w:r w:rsidRPr="00EE69B1">
              <w:rPr>
                <w:rFonts w:ascii="Arial" w:hAnsi="Arial" w:cs="Arial"/>
                <w:sz w:val="20"/>
                <w:szCs w:val="20"/>
              </w:rPr>
              <w:t>, are receiving anti-pseudomonal agents specifically for the treatment of an exacerbation or pre-scheduled prophylactic courses of oral antibiotics</w:t>
            </w:r>
            <w:r w:rsidR="00536C5F">
              <w:rPr>
                <w:rFonts w:ascii="Arial" w:hAnsi="Arial" w:cs="Arial"/>
                <w:sz w:val="20"/>
                <w:szCs w:val="20"/>
              </w:rPr>
              <w:t xml:space="preserve">. </w:t>
            </w:r>
            <w:r w:rsidRPr="00EE69B1">
              <w:rPr>
                <w:rFonts w:ascii="Arial" w:hAnsi="Arial" w:cs="Arial"/>
                <w:sz w:val="20"/>
                <w:szCs w:val="20"/>
              </w:rPr>
              <w:t>Long-term use of antibiotics for prophylaxis or anti-inflammatories is permitted, provided the regimen has been used for at least 28 days and is planned to continue throughout the study</w:t>
            </w:r>
            <w:r w:rsidR="00536C5F">
              <w:rPr>
                <w:rFonts w:ascii="Arial" w:hAnsi="Arial" w:cs="Arial"/>
                <w:sz w:val="20"/>
                <w:szCs w:val="20"/>
              </w:rPr>
              <w:t>.</w:t>
            </w:r>
          </w:p>
          <w:p w14:paraId="640C13A0" w14:textId="77777777" w:rsidR="00074544" w:rsidRPr="00EE69B1" w:rsidRDefault="00074544" w:rsidP="001A3E2E">
            <w:pPr>
              <w:pStyle w:val="ListParagraph"/>
              <w:numPr>
                <w:ilvl w:val="0"/>
                <w:numId w:val="10"/>
              </w:numPr>
              <w:rPr>
                <w:rFonts w:ascii="Arial" w:hAnsi="Arial" w:cs="Arial"/>
                <w:sz w:val="20"/>
                <w:szCs w:val="20"/>
              </w:rPr>
            </w:pPr>
            <w:r w:rsidRPr="00EE69B1">
              <w:rPr>
                <w:rFonts w:ascii="Arial" w:hAnsi="Arial" w:cs="Arial"/>
                <w:sz w:val="20"/>
                <w:szCs w:val="20"/>
              </w:rPr>
              <w:lastRenderedPageBreak/>
              <w:t>Patients who need to receive other anti-pseudomonal agent as part of their standard care during the off-cycle of Tobi.</w:t>
            </w:r>
          </w:p>
          <w:p w14:paraId="3E59DE41" w14:textId="04948D4A" w:rsidR="00074544" w:rsidRPr="00EE69B1" w:rsidRDefault="00074544" w:rsidP="001A3E2E">
            <w:pPr>
              <w:pStyle w:val="ListParagraph"/>
              <w:numPr>
                <w:ilvl w:val="0"/>
                <w:numId w:val="10"/>
              </w:numPr>
              <w:rPr>
                <w:rFonts w:ascii="Arial" w:hAnsi="Arial" w:cs="Arial"/>
                <w:sz w:val="20"/>
                <w:szCs w:val="20"/>
              </w:rPr>
            </w:pPr>
            <w:r w:rsidRPr="00EE69B1">
              <w:rPr>
                <w:rFonts w:ascii="Arial" w:hAnsi="Arial" w:cs="Arial"/>
                <w:sz w:val="20"/>
                <w:szCs w:val="20"/>
              </w:rPr>
              <w:t xml:space="preserve">Patients who are infected/colonised with </w:t>
            </w:r>
            <w:r w:rsidRPr="00B066BD">
              <w:rPr>
                <w:rFonts w:ascii="Arial" w:hAnsi="Arial" w:cs="Arial"/>
                <w:i/>
                <w:iCs/>
                <w:sz w:val="20"/>
                <w:szCs w:val="20"/>
              </w:rPr>
              <w:t>B</w:t>
            </w:r>
            <w:r w:rsidR="00234278">
              <w:rPr>
                <w:rFonts w:ascii="Arial" w:hAnsi="Arial" w:cs="Arial"/>
                <w:i/>
                <w:iCs/>
                <w:sz w:val="20"/>
                <w:szCs w:val="20"/>
              </w:rPr>
              <w:t>urkholderia</w:t>
            </w:r>
            <w:r w:rsidRPr="00B066BD">
              <w:rPr>
                <w:rFonts w:ascii="Arial" w:hAnsi="Arial" w:cs="Arial"/>
                <w:i/>
                <w:iCs/>
                <w:sz w:val="20"/>
                <w:szCs w:val="20"/>
              </w:rPr>
              <w:t xml:space="preserve"> </w:t>
            </w:r>
            <w:r w:rsidR="00536C5F" w:rsidRPr="00B066BD">
              <w:rPr>
                <w:rFonts w:ascii="Arial" w:hAnsi="Arial" w:cs="Arial"/>
                <w:i/>
                <w:iCs/>
                <w:sz w:val="20"/>
                <w:szCs w:val="20"/>
              </w:rPr>
              <w:t>cepacia</w:t>
            </w:r>
            <w:r w:rsidR="00536C5F">
              <w:rPr>
                <w:rFonts w:ascii="Arial" w:hAnsi="Arial" w:cs="Arial"/>
                <w:sz w:val="20"/>
                <w:szCs w:val="20"/>
              </w:rPr>
              <w:t>.</w:t>
            </w:r>
          </w:p>
          <w:p w14:paraId="18B04A7E" w14:textId="77777777" w:rsidR="00074544" w:rsidRPr="00EE69B1" w:rsidRDefault="00074544" w:rsidP="001A3E2E">
            <w:pPr>
              <w:pStyle w:val="ListParagraph"/>
              <w:numPr>
                <w:ilvl w:val="0"/>
                <w:numId w:val="10"/>
              </w:numPr>
              <w:rPr>
                <w:rFonts w:ascii="Arial" w:hAnsi="Arial" w:cs="Arial"/>
                <w:sz w:val="20"/>
                <w:szCs w:val="20"/>
              </w:rPr>
            </w:pPr>
            <w:r w:rsidRPr="00EE69B1">
              <w:rPr>
                <w:rFonts w:ascii="Arial" w:hAnsi="Arial" w:cs="Arial"/>
                <w:sz w:val="20"/>
                <w:szCs w:val="20"/>
              </w:rPr>
              <w:t>Patients who are complicated by symptoms related to ABPA.</w:t>
            </w:r>
          </w:p>
          <w:p w14:paraId="7522590E" w14:textId="2DB4DFE0" w:rsidR="00074544" w:rsidRPr="00536C5F" w:rsidRDefault="00074544" w:rsidP="001A3E2E">
            <w:pPr>
              <w:pStyle w:val="ListParagraph"/>
              <w:numPr>
                <w:ilvl w:val="0"/>
                <w:numId w:val="10"/>
              </w:numPr>
              <w:rPr>
                <w:rFonts w:ascii="Arial" w:hAnsi="Arial" w:cs="Arial"/>
                <w:sz w:val="20"/>
                <w:szCs w:val="20"/>
              </w:rPr>
            </w:pPr>
            <w:r w:rsidRPr="00EE69B1">
              <w:rPr>
                <w:rFonts w:ascii="Arial" w:hAnsi="Arial" w:cs="Arial"/>
                <w:sz w:val="20"/>
                <w:szCs w:val="20"/>
              </w:rPr>
              <w:t>Patients who are awaiting heart-lung or lung transplantation, where the transplant is likely to take place within 6 months of the first day of trial medication administration.</w:t>
            </w:r>
          </w:p>
        </w:tc>
        <w:tc>
          <w:tcPr>
            <w:tcW w:w="4508" w:type="dxa"/>
            <w:tcBorders>
              <w:top w:val="single" w:sz="4" w:space="0" w:color="auto"/>
            </w:tcBorders>
          </w:tcPr>
          <w:p w14:paraId="13FF831E" w14:textId="65630113" w:rsidR="00074544" w:rsidRPr="00EE69B1" w:rsidRDefault="00074544" w:rsidP="00074544">
            <w:pPr>
              <w:rPr>
                <w:rFonts w:ascii="Arial" w:hAnsi="Arial" w:cs="Arial"/>
                <w:sz w:val="20"/>
                <w:szCs w:val="20"/>
              </w:rPr>
            </w:pPr>
            <w:r w:rsidRPr="00EE69B1">
              <w:rPr>
                <w:rFonts w:ascii="Arial" w:hAnsi="Arial" w:cs="Arial"/>
                <w:sz w:val="20"/>
                <w:szCs w:val="20"/>
              </w:rPr>
              <w:lastRenderedPageBreak/>
              <w:t xml:space="preserve">Inclusion </w:t>
            </w:r>
            <w:r w:rsidR="00AE37EC">
              <w:rPr>
                <w:rFonts w:ascii="Arial" w:hAnsi="Arial" w:cs="Arial"/>
                <w:sz w:val="20"/>
                <w:szCs w:val="20"/>
              </w:rPr>
              <w:t>c</w:t>
            </w:r>
            <w:r w:rsidRPr="00EE69B1">
              <w:rPr>
                <w:rFonts w:ascii="Arial" w:hAnsi="Arial" w:cs="Arial"/>
                <w:sz w:val="20"/>
                <w:szCs w:val="20"/>
              </w:rPr>
              <w:t>riteria:</w:t>
            </w:r>
          </w:p>
          <w:p w14:paraId="438E7652" w14:textId="6F18632D" w:rsidR="00536C5F" w:rsidRPr="00EE69B1" w:rsidRDefault="00536C5F" w:rsidP="001A3E2E">
            <w:pPr>
              <w:pStyle w:val="ListParagraph"/>
              <w:numPr>
                <w:ilvl w:val="0"/>
                <w:numId w:val="11"/>
              </w:numPr>
              <w:rPr>
                <w:rFonts w:ascii="Arial" w:hAnsi="Arial" w:cs="Arial"/>
                <w:sz w:val="20"/>
                <w:szCs w:val="20"/>
              </w:rPr>
            </w:pPr>
            <w:r w:rsidRPr="00EE69B1">
              <w:rPr>
                <w:rFonts w:ascii="Arial" w:hAnsi="Arial" w:cs="Arial"/>
                <w:sz w:val="20"/>
                <w:szCs w:val="20"/>
              </w:rPr>
              <w:t>Males or female aged 6 years and above</w:t>
            </w:r>
            <w:r w:rsidR="00513C1D">
              <w:rPr>
                <w:rFonts w:ascii="Arial" w:hAnsi="Arial" w:cs="Arial"/>
                <w:sz w:val="20"/>
                <w:szCs w:val="20"/>
              </w:rPr>
              <w:t>.</w:t>
            </w:r>
          </w:p>
          <w:p w14:paraId="21337B34" w14:textId="65AB1383" w:rsidR="00074544" w:rsidRPr="00EE69B1" w:rsidRDefault="00074544" w:rsidP="001A3E2E">
            <w:pPr>
              <w:pStyle w:val="ListParagraph"/>
              <w:numPr>
                <w:ilvl w:val="0"/>
                <w:numId w:val="11"/>
              </w:numPr>
              <w:rPr>
                <w:rFonts w:ascii="Arial" w:hAnsi="Arial" w:cs="Arial"/>
                <w:sz w:val="20"/>
                <w:szCs w:val="20"/>
              </w:rPr>
            </w:pPr>
            <w:r w:rsidRPr="00EE69B1">
              <w:rPr>
                <w:rFonts w:ascii="Arial" w:hAnsi="Arial" w:cs="Arial"/>
                <w:sz w:val="20"/>
                <w:szCs w:val="20"/>
              </w:rPr>
              <w:t xml:space="preserve">People who are prescribed tobramycin </w:t>
            </w:r>
            <w:r w:rsidR="00513C1D">
              <w:rPr>
                <w:rFonts w:ascii="Arial" w:hAnsi="Arial" w:cs="Arial"/>
                <w:sz w:val="20"/>
                <w:szCs w:val="20"/>
              </w:rPr>
              <w:t xml:space="preserve">at index visit. </w:t>
            </w:r>
          </w:p>
          <w:p w14:paraId="4F0A310A" w14:textId="1343277F" w:rsidR="00074544" w:rsidRPr="00EE69B1" w:rsidRDefault="00074544" w:rsidP="001A3E2E">
            <w:pPr>
              <w:pStyle w:val="ListParagraph"/>
              <w:numPr>
                <w:ilvl w:val="0"/>
                <w:numId w:val="11"/>
              </w:numPr>
              <w:rPr>
                <w:rFonts w:ascii="Arial" w:hAnsi="Arial" w:cs="Arial"/>
                <w:sz w:val="20"/>
                <w:szCs w:val="20"/>
              </w:rPr>
            </w:pPr>
            <w:r w:rsidRPr="00EE69B1">
              <w:rPr>
                <w:rFonts w:ascii="Arial" w:hAnsi="Arial" w:cs="Arial"/>
                <w:sz w:val="20"/>
                <w:szCs w:val="20"/>
              </w:rPr>
              <w:t>People who have been prescribed</w:t>
            </w:r>
            <w:r w:rsidR="00513C1D">
              <w:rPr>
                <w:rFonts w:ascii="Arial" w:hAnsi="Arial" w:cs="Arial"/>
                <w:sz w:val="20"/>
                <w:szCs w:val="20"/>
              </w:rPr>
              <w:t>.</w:t>
            </w:r>
            <w:r w:rsidRPr="00EE69B1">
              <w:rPr>
                <w:rFonts w:ascii="Arial" w:hAnsi="Arial" w:cs="Arial"/>
                <w:sz w:val="20"/>
                <w:szCs w:val="20"/>
              </w:rPr>
              <w:t xml:space="preserve"> tobramycin for a minimum of 2 on/off cycles</w:t>
            </w:r>
            <w:r w:rsidR="005844A4">
              <w:rPr>
                <w:rFonts w:ascii="Arial" w:hAnsi="Arial" w:cs="Arial"/>
                <w:sz w:val="20"/>
                <w:szCs w:val="20"/>
              </w:rPr>
              <w:t xml:space="preserve"> (i.e., at least 4 months of tobramycin use)</w:t>
            </w:r>
            <w:r w:rsidR="00513C1D">
              <w:rPr>
                <w:rFonts w:ascii="Arial" w:hAnsi="Arial" w:cs="Arial"/>
                <w:sz w:val="20"/>
                <w:szCs w:val="20"/>
              </w:rPr>
              <w:t xml:space="preserve">. </w:t>
            </w:r>
          </w:p>
          <w:p w14:paraId="55081A7B" w14:textId="4203A4E0" w:rsidR="00074544" w:rsidRPr="00513C1D" w:rsidRDefault="00074544" w:rsidP="001A3E2E">
            <w:pPr>
              <w:pStyle w:val="ListParagraph"/>
              <w:numPr>
                <w:ilvl w:val="0"/>
                <w:numId w:val="11"/>
              </w:numPr>
              <w:rPr>
                <w:rFonts w:ascii="Arial" w:hAnsi="Arial" w:cs="Arial"/>
                <w:color w:val="000000" w:themeColor="text1"/>
                <w:sz w:val="20"/>
                <w:szCs w:val="20"/>
              </w:rPr>
            </w:pPr>
            <w:r w:rsidRPr="00513C1D">
              <w:rPr>
                <w:rFonts w:ascii="Arial" w:hAnsi="Arial" w:cs="Arial"/>
                <w:color w:val="000000" w:themeColor="text1"/>
                <w:sz w:val="20"/>
                <w:szCs w:val="20"/>
              </w:rPr>
              <w:t>Unable to emulate this criterion</w:t>
            </w:r>
            <w:r w:rsidR="00513C1D">
              <w:rPr>
                <w:rFonts w:ascii="Arial" w:hAnsi="Arial" w:cs="Arial"/>
                <w:color w:val="000000" w:themeColor="text1"/>
                <w:sz w:val="20"/>
                <w:szCs w:val="20"/>
              </w:rPr>
              <w:t>.</w:t>
            </w:r>
          </w:p>
          <w:p w14:paraId="32ECD652" w14:textId="12076D95" w:rsidR="00074544" w:rsidRPr="00EE69B1" w:rsidRDefault="00074544" w:rsidP="001A3E2E">
            <w:pPr>
              <w:pStyle w:val="ListParagraph"/>
              <w:numPr>
                <w:ilvl w:val="0"/>
                <w:numId w:val="11"/>
              </w:numPr>
              <w:rPr>
                <w:rFonts w:ascii="Arial" w:hAnsi="Arial" w:cs="Arial"/>
                <w:sz w:val="20"/>
                <w:szCs w:val="20"/>
              </w:rPr>
            </w:pPr>
            <w:r w:rsidRPr="00EE69B1">
              <w:rPr>
                <w:rFonts w:ascii="Arial" w:hAnsi="Arial" w:cs="Arial"/>
                <w:sz w:val="20"/>
                <w:szCs w:val="20"/>
              </w:rPr>
              <w:t>Non-smokers</w:t>
            </w:r>
            <w:r w:rsidR="00513C1D">
              <w:rPr>
                <w:rFonts w:ascii="Arial" w:hAnsi="Arial" w:cs="Arial"/>
                <w:sz w:val="20"/>
                <w:szCs w:val="20"/>
              </w:rPr>
              <w:t xml:space="preserve">. </w:t>
            </w:r>
          </w:p>
          <w:p w14:paraId="42E6E85F" w14:textId="4092A957" w:rsidR="00074544" w:rsidRPr="00513C1D" w:rsidRDefault="00074544" w:rsidP="001A3E2E">
            <w:pPr>
              <w:pStyle w:val="ListParagraph"/>
              <w:numPr>
                <w:ilvl w:val="0"/>
                <w:numId w:val="11"/>
              </w:numPr>
              <w:rPr>
                <w:rFonts w:ascii="Arial" w:hAnsi="Arial" w:cs="Arial"/>
                <w:color w:val="000000" w:themeColor="text1"/>
                <w:sz w:val="20"/>
                <w:szCs w:val="20"/>
              </w:rPr>
            </w:pPr>
            <w:r w:rsidRPr="00513C1D">
              <w:rPr>
                <w:rFonts w:ascii="Arial" w:hAnsi="Arial" w:cs="Arial"/>
                <w:color w:val="000000" w:themeColor="text1"/>
                <w:sz w:val="20"/>
                <w:szCs w:val="20"/>
              </w:rPr>
              <w:t>NA – consent to be in the Registry has been obtained</w:t>
            </w:r>
            <w:r w:rsidR="00513C1D" w:rsidRPr="00513C1D">
              <w:rPr>
                <w:rFonts w:ascii="Arial" w:hAnsi="Arial" w:cs="Arial"/>
                <w:color w:val="000000" w:themeColor="text1"/>
                <w:sz w:val="20"/>
                <w:szCs w:val="20"/>
              </w:rPr>
              <w:t>.</w:t>
            </w:r>
          </w:p>
          <w:p w14:paraId="2F6D6386" w14:textId="5577522F" w:rsidR="00074544" w:rsidRPr="00513C1D" w:rsidRDefault="00074544" w:rsidP="001A3E2E">
            <w:pPr>
              <w:pStyle w:val="ListParagraph"/>
              <w:numPr>
                <w:ilvl w:val="0"/>
                <w:numId w:val="11"/>
              </w:numPr>
              <w:rPr>
                <w:rFonts w:ascii="Arial" w:hAnsi="Arial" w:cs="Arial"/>
                <w:color w:val="000000" w:themeColor="text1"/>
                <w:sz w:val="20"/>
                <w:szCs w:val="20"/>
              </w:rPr>
            </w:pPr>
            <w:r w:rsidRPr="00513C1D">
              <w:rPr>
                <w:rFonts w:ascii="Arial" w:hAnsi="Arial" w:cs="Arial"/>
                <w:color w:val="000000" w:themeColor="text1"/>
                <w:sz w:val="20"/>
                <w:szCs w:val="20"/>
              </w:rPr>
              <w:t>NA – assume people in the Registry have a documented diagnosis of CF</w:t>
            </w:r>
            <w:r w:rsidR="00513C1D" w:rsidRPr="00513C1D">
              <w:rPr>
                <w:rFonts w:ascii="Arial" w:hAnsi="Arial" w:cs="Arial"/>
                <w:color w:val="000000" w:themeColor="text1"/>
                <w:sz w:val="20"/>
                <w:szCs w:val="20"/>
              </w:rPr>
              <w:t>.</w:t>
            </w:r>
          </w:p>
          <w:p w14:paraId="128FCB72" w14:textId="6738D972" w:rsidR="00074544" w:rsidRPr="00A579A4" w:rsidRDefault="00074544" w:rsidP="001A3E2E">
            <w:pPr>
              <w:pStyle w:val="ListParagraph"/>
              <w:numPr>
                <w:ilvl w:val="0"/>
                <w:numId w:val="11"/>
              </w:numPr>
              <w:rPr>
                <w:rFonts w:ascii="Arial" w:hAnsi="Arial" w:cs="Arial"/>
                <w:color w:val="000000" w:themeColor="text1"/>
                <w:sz w:val="20"/>
                <w:szCs w:val="20"/>
              </w:rPr>
            </w:pPr>
            <w:r w:rsidRPr="00A579A4">
              <w:rPr>
                <w:rFonts w:ascii="Arial" w:hAnsi="Arial" w:cs="Arial"/>
                <w:color w:val="000000" w:themeColor="text1"/>
                <w:sz w:val="20"/>
                <w:szCs w:val="20"/>
              </w:rPr>
              <w:t>Unable to emulate this criterion</w:t>
            </w:r>
            <w:r w:rsidR="00A579A4">
              <w:rPr>
                <w:rFonts w:ascii="Arial" w:hAnsi="Arial" w:cs="Arial"/>
                <w:color w:val="000000" w:themeColor="text1"/>
                <w:sz w:val="20"/>
                <w:szCs w:val="20"/>
              </w:rPr>
              <w:t>. We assume clinical stability at index visit</w:t>
            </w:r>
            <w:r w:rsidR="002536D6">
              <w:rPr>
                <w:rFonts w:ascii="Arial" w:hAnsi="Arial" w:cs="Arial"/>
                <w:color w:val="000000" w:themeColor="text1"/>
                <w:sz w:val="20"/>
                <w:szCs w:val="20"/>
              </w:rPr>
              <w:t xml:space="preserve">. </w:t>
            </w:r>
          </w:p>
          <w:p w14:paraId="4460195C" w14:textId="734DEA49" w:rsidR="002536D6" w:rsidRPr="00EE69B1" w:rsidRDefault="002536D6" w:rsidP="001A3E2E">
            <w:pPr>
              <w:pStyle w:val="ListParagraph"/>
              <w:numPr>
                <w:ilvl w:val="0"/>
                <w:numId w:val="11"/>
              </w:numPr>
              <w:rPr>
                <w:rFonts w:ascii="Arial" w:hAnsi="Arial" w:cs="Arial"/>
                <w:sz w:val="20"/>
                <w:szCs w:val="20"/>
              </w:rPr>
            </w:pPr>
            <w:r w:rsidRPr="00EE69B1">
              <w:rPr>
                <w:rFonts w:ascii="Arial" w:hAnsi="Arial" w:cs="Arial"/>
                <w:sz w:val="20"/>
                <w:szCs w:val="20"/>
              </w:rPr>
              <w:t>FEV</w:t>
            </w:r>
            <w:r w:rsidRPr="00E9646B">
              <w:rPr>
                <w:rFonts w:ascii="Arial" w:hAnsi="Arial" w:cs="Arial"/>
                <w:sz w:val="20"/>
                <w:szCs w:val="20"/>
                <w:vertAlign w:val="subscript"/>
              </w:rPr>
              <w:t>1</w:t>
            </w:r>
            <w:r>
              <w:rPr>
                <w:rFonts w:ascii="Arial" w:hAnsi="Arial" w:cs="Arial"/>
                <w:sz w:val="20"/>
                <w:szCs w:val="20"/>
              </w:rPr>
              <w:t xml:space="preserve">% </w:t>
            </w:r>
            <w:r w:rsidRPr="00EE69B1">
              <w:rPr>
                <w:rFonts w:ascii="Arial" w:hAnsi="Arial" w:cs="Arial"/>
                <w:sz w:val="20"/>
                <w:szCs w:val="20"/>
              </w:rPr>
              <w:t xml:space="preserve">must be at least 25% but no more than 75%. </w:t>
            </w:r>
          </w:p>
          <w:p w14:paraId="14C6015A" w14:textId="0F800062" w:rsidR="00074544" w:rsidRPr="00EE69B1" w:rsidRDefault="00074544" w:rsidP="001A3E2E">
            <w:pPr>
              <w:pStyle w:val="ListParagraph"/>
              <w:numPr>
                <w:ilvl w:val="0"/>
                <w:numId w:val="11"/>
              </w:numPr>
              <w:rPr>
                <w:rFonts w:ascii="Arial" w:hAnsi="Arial" w:cs="Arial"/>
                <w:sz w:val="20"/>
                <w:szCs w:val="20"/>
              </w:rPr>
            </w:pPr>
            <w:r w:rsidRPr="00EE69B1">
              <w:rPr>
                <w:rFonts w:ascii="Arial" w:hAnsi="Arial" w:cs="Arial"/>
                <w:sz w:val="20"/>
                <w:szCs w:val="20"/>
              </w:rPr>
              <w:t xml:space="preserve">Record of </w:t>
            </w:r>
            <w:r w:rsidR="002536D6" w:rsidRPr="00B066BD">
              <w:rPr>
                <w:rFonts w:ascii="Arial" w:hAnsi="Arial" w:cs="Arial"/>
                <w:i/>
                <w:iCs/>
                <w:sz w:val="20"/>
                <w:szCs w:val="20"/>
              </w:rPr>
              <w:t>Pseudomonas aeruginosa</w:t>
            </w:r>
            <w:r w:rsidR="002536D6" w:rsidRPr="00EE69B1">
              <w:rPr>
                <w:rFonts w:ascii="Arial" w:hAnsi="Arial" w:cs="Arial"/>
                <w:sz w:val="20"/>
                <w:szCs w:val="20"/>
              </w:rPr>
              <w:t xml:space="preserve"> </w:t>
            </w:r>
            <w:r w:rsidRPr="00EE69B1">
              <w:rPr>
                <w:rFonts w:ascii="Arial" w:hAnsi="Arial" w:cs="Arial"/>
                <w:sz w:val="20"/>
                <w:szCs w:val="20"/>
              </w:rPr>
              <w:t xml:space="preserve">bacterial growth </w:t>
            </w:r>
            <w:r w:rsidR="002536D6">
              <w:rPr>
                <w:rFonts w:ascii="Arial" w:hAnsi="Arial" w:cs="Arial"/>
                <w:sz w:val="20"/>
                <w:szCs w:val="20"/>
              </w:rPr>
              <w:t xml:space="preserve">at index visit. </w:t>
            </w:r>
          </w:p>
          <w:p w14:paraId="0B2E98A3" w14:textId="77777777" w:rsidR="00074544" w:rsidRPr="002536D6" w:rsidRDefault="00074544" w:rsidP="001A3E2E">
            <w:pPr>
              <w:pStyle w:val="ListParagraph"/>
              <w:numPr>
                <w:ilvl w:val="0"/>
                <w:numId w:val="11"/>
              </w:numPr>
              <w:rPr>
                <w:rFonts w:ascii="Arial" w:hAnsi="Arial" w:cs="Arial"/>
                <w:color w:val="000000" w:themeColor="text1"/>
                <w:sz w:val="20"/>
                <w:szCs w:val="20"/>
              </w:rPr>
            </w:pPr>
            <w:r w:rsidRPr="002536D6">
              <w:rPr>
                <w:rFonts w:ascii="Arial" w:hAnsi="Arial" w:cs="Arial"/>
                <w:color w:val="000000" w:themeColor="text1"/>
                <w:sz w:val="20"/>
                <w:szCs w:val="20"/>
              </w:rPr>
              <w:t>Unable to emulate this criterion</w:t>
            </w:r>
          </w:p>
          <w:p w14:paraId="15A26EDF" w14:textId="2C92C85C" w:rsidR="00074544" w:rsidRDefault="00074544" w:rsidP="001A3E2E">
            <w:pPr>
              <w:pStyle w:val="ListParagraph"/>
              <w:numPr>
                <w:ilvl w:val="0"/>
                <w:numId w:val="11"/>
              </w:numPr>
              <w:rPr>
                <w:rFonts w:ascii="Arial" w:hAnsi="Arial" w:cs="Arial"/>
                <w:sz w:val="20"/>
                <w:szCs w:val="20"/>
              </w:rPr>
            </w:pPr>
            <w:r w:rsidRPr="00EE69B1">
              <w:rPr>
                <w:rFonts w:ascii="Arial" w:hAnsi="Arial" w:cs="Arial"/>
                <w:sz w:val="20"/>
                <w:szCs w:val="20"/>
              </w:rPr>
              <w:t>Individuals who have had at least 28, but no more than 35, days off tobramycin</w:t>
            </w:r>
            <w:r w:rsidR="008343F0">
              <w:rPr>
                <w:rFonts w:ascii="Arial" w:hAnsi="Arial" w:cs="Arial"/>
                <w:sz w:val="20"/>
                <w:szCs w:val="20"/>
              </w:rPr>
              <w:t xml:space="preserve">. </w:t>
            </w:r>
          </w:p>
          <w:p w14:paraId="7C47A1BC" w14:textId="77777777" w:rsidR="008343F0" w:rsidRDefault="008343F0" w:rsidP="008343F0">
            <w:pPr>
              <w:rPr>
                <w:rFonts w:ascii="Arial" w:hAnsi="Arial" w:cs="Arial"/>
                <w:sz w:val="20"/>
                <w:szCs w:val="20"/>
              </w:rPr>
            </w:pPr>
          </w:p>
          <w:p w14:paraId="2DF86407" w14:textId="77777777" w:rsidR="008343F0" w:rsidRDefault="008343F0" w:rsidP="008343F0">
            <w:pPr>
              <w:rPr>
                <w:rFonts w:ascii="Arial" w:hAnsi="Arial" w:cs="Arial"/>
                <w:sz w:val="20"/>
                <w:szCs w:val="20"/>
              </w:rPr>
            </w:pPr>
          </w:p>
          <w:p w14:paraId="13F0213E" w14:textId="77777777" w:rsidR="008343F0" w:rsidRDefault="008343F0" w:rsidP="008343F0">
            <w:pPr>
              <w:rPr>
                <w:rFonts w:ascii="Arial" w:hAnsi="Arial" w:cs="Arial"/>
                <w:sz w:val="20"/>
                <w:szCs w:val="20"/>
              </w:rPr>
            </w:pPr>
          </w:p>
          <w:p w14:paraId="4809199E" w14:textId="77777777" w:rsidR="008343F0" w:rsidRDefault="008343F0" w:rsidP="008343F0">
            <w:pPr>
              <w:rPr>
                <w:rFonts w:ascii="Arial" w:hAnsi="Arial" w:cs="Arial"/>
                <w:sz w:val="20"/>
                <w:szCs w:val="20"/>
              </w:rPr>
            </w:pPr>
          </w:p>
          <w:p w14:paraId="4E63BFD6" w14:textId="77777777" w:rsidR="008343F0" w:rsidRDefault="008343F0" w:rsidP="008343F0">
            <w:pPr>
              <w:rPr>
                <w:rFonts w:ascii="Arial" w:hAnsi="Arial" w:cs="Arial"/>
                <w:sz w:val="20"/>
                <w:szCs w:val="20"/>
              </w:rPr>
            </w:pPr>
          </w:p>
          <w:p w14:paraId="562641C0" w14:textId="77777777" w:rsidR="008343F0" w:rsidRDefault="008343F0" w:rsidP="008343F0">
            <w:pPr>
              <w:rPr>
                <w:rFonts w:ascii="Arial" w:hAnsi="Arial" w:cs="Arial"/>
                <w:sz w:val="20"/>
                <w:szCs w:val="20"/>
              </w:rPr>
            </w:pPr>
          </w:p>
          <w:p w14:paraId="077AC330" w14:textId="77777777" w:rsidR="008343F0" w:rsidRDefault="008343F0" w:rsidP="008343F0">
            <w:pPr>
              <w:rPr>
                <w:rFonts w:ascii="Arial" w:hAnsi="Arial" w:cs="Arial"/>
                <w:sz w:val="20"/>
                <w:szCs w:val="20"/>
              </w:rPr>
            </w:pPr>
          </w:p>
          <w:p w14:paraId="62C71B3F" w14:textId="77777777" w:rsidR="008343F0" w:rsidRDefault="008343F0" w:rsidP="008343F0">
            <w:pPr>
              <w:rPr>
                <w:rFonts w:ascii="Arial" w:hAnsi="Arial" w:cs="Arial"/>
                <w:sz w:val="20"/>
                <w:szCs w:val="20"/>
              </w:rPr>
            </w:pPr>
          </w:p>
          <w:p w14:paraId="78E4882A" w14:textId="77777777" w:rsidR="008343F0" w:rsidRDefault="008343F0" w:rsidP="008343F0">
            <w:pPr>
              <w:rPr>
                <w:rFonts w:ascii="Arial" w:hAnsi="Arial" w:cs="Arial"/>
                <w:sz w:val="20"/>
                <w:szCs w:val="20"/>
              </w:rPr>
            </w:pPr>
          </w:p>
          <w:p w14:paraId="66CC6DA2" w14:textId="77777777" w:rsidR="008343F0" w:rsidRDefault="008343F0" w:rsidP="008343F0">
            <w:pPr>
              <w:rPr>
                <w:rFonts w:ascii="Arial" w:hAnsi="Arial" w:cs="Arial"/>
                <w:sz w:val="20"/>
                <w:szCs w:val="20"/>
              </w:rPr>
            </w:pPr>
          </w:p>
          <w:p w14:paraId="74B41B0D" w14:textId="77777777" w:rsidR="008343F0" w:rsidRDefault="008343F0" w:rsidP="008343F0">
            <w:pPr>
              <w:rPr>
                <w:rFonts w:ascii="Arial" w:hAnsi="Arial" w:cs="Arial"/>
                <w:sz w:val="20"/>
                <w:szCs w:val="20"/>
              </w:rPr>
            </w:pPr>
          </w:p>
          <w:p w14:paraId="63251266" w14:textId="77777777" w:rsidR="008343F0" w:rsidRDefault="008343F0" w:rsidP="008343F0">
            <w:pPr>
              <w:rPr>
                <w:rFonts w:ascii="Arial" w:hAnsi="Arial" w:cs="Arial"/>
                <w:sz w:val="20"/>
                <w:szCs w:val="20"/>
              </w:rPr>
            </w:pPr>
          </w:p>
          <w:p w14:paraId="480925A5" w14:textId="77777777" w:rsidR="008343F0" w:rsidRDefault="008343F0" w:rsidP="008343F0">
            <w:pPr>
              <w:rPr>
                <w:rFonts w:ascii="Arial" w:hAnsi="Arial" w:cs="Arial"/>
                <w:sz w:val="20"/>
                <w:szCs w:val="20"/>
              </w:rPr>
            </w:pPr>
          </w:p>
          <w:p w14:paraId="765E9B9C" w14:textId="77777777" w:rsidR="008343F0" w:rsidRDefault="008343F0" w:rsidP="008343F0">
            <w:pPr>
              <w:rPr>
                <w:rFonts w:ascii="Arial" w:hAnsi="Arial" w:cs="Arial"/>
                <w:sz w:val="20"/>
                <w:szCs w:val="20"/>
              </w:rPr>
            </w:pPr>
          </w:p>
          <w:p w14:paraId="49D227EA" w14:textId="77777777" w:rsidR="008343F0" w:rsidRDefault="008343F0" w:rsidP="008343F0">
            <w:pPr>
              <w:rPr>
                <w:rFonts w:ascii="Arial" w:hAnsi="Arial" w:cs="Arial"/>
                <w:sz w:val="20"/>
                <w:szCs w:val="20"/>
              </w:rPr>
            </w:pPr>
          </w:p>
          <w:p w14:paraId="4E8192FA" w14:textId="77777777" w:rsidR="008343F0" w:rsidRDefault="008343F0" w:rsidP="008343F0">
            <w:pPr>
              <w:rPr>
                <w:rFonts w:ascii="Arial" w:hAnsi="Arial" w:cs="Arial"/>
                <w:sz w:val="20"/>
                <w:szCs w:val="20"/>
              </w:rPr>
            </w:pPr>
          </w:p>
          <w:p w14:paraId="302327F0" w14:textId="77777777" w:rsidR="008343F0" w:rsidRDefault="008343F0" w:rsidP="008343F0">
            <w:pPr>
              <w:rPr>
                <w:rFonts w:ascii="Arial" w:hAnsi="Arial" w:cs="Arial"/>
                <w:sz w:val="20"/>
                <w:szCs w:val="20"/>
              </w:rPr>
            </w:pPr>
          </w:p>
          <w:p w14:paraId="0FDEB0A1" w14:textId="77777777" w:rsidR="008343F0" w:rsidRDefault="008343F0" w:rsidP="008343F0">
            <w:pPr>
              <w:rPr>
                <w:rFonts w:ascii="Arial" w:hAnsi="Arial" w:cs="Arial"/>
                <w:sz w:val="20"/>
                <w:szCs w:val="20"/>
              </w:rPr>
            </w:pPr>
          </w:p>
          <w:p w14:paraId="1C0E9385" w14:textId="77777777" w:rsidR="008343F0" w:rsidRDefault="008343F0" w:rsidP="008343F0">
            <w:pPr>
              <w:rPr>
                <w:rFonts w:ascii="Arial" w:hAnsi="Arial" w:cs="Arial"/>
                <w:sz w:val="20"/>
                <w:szCs w:val="20"/>
              </w:rPr>
            </w:pPr>
          </w:p>
          <w:p w14:paraId="444EAC25" w14:textId="77777777" w:rsidR="008343F0" w:rsidRDefault="008343F0" w:rsidP="008343F0">
            <w:pPr>
              <w:rPr>
                <w:rFonts w:ascii="Arial" w:hAnsi="Arial" w:cs="Arial"/>
                <w:sz w:val="20"/>
                <w:szCs w:val="20"/>
              </w:rPr>
            </w:pPr>
          </w:p>
          <w:p w14:paraId="341874C3" w14:textId="77777777" w:rsidR="008343F0" w:rsidRDefault="008343F0" w:rsidP="008343F0">
            <w:pPr>
              <w:rPr>
                <w:rFonts w:ascii="Arial" w:hAnsi="Arial" w:cs="Arial"/>
                <w:sz w:val="20"/>
                <w:szCs w:val="20"/>
              </w:rPr>
            </w:pPr>
          </w:p>
          <w:p w14:paraId="3A0C3636" w14:textId="77777777" w:rsidR="008343F0" w:rsidRDefault="008343F0" w:rsidP="008343F0">
            <w:pPr>
              <w:rPr>
                <w:rFonts w:ascii="Arial" w:hAnsi="Arial" w:cs="Arial"/>
                <w:sz w:val="20"/>
                <w:szCs w:val="20"/>
              </w:rPr>
            </w:pPr>
          </w:p>
          <w:p w14:paraId="6BDAF0DE" w14:textId="77777777" w:rsidR="008343F0" w:rsidRDefault="008343F0" w:rsidP="008343F0">
            <w:pPr>
              <w:rPr>
                <w:rFonts w:ascii="Arial" w:hAnsi="Arial" w:cs="Arial"/>
                <w:sz w:val="20"/>
                <w:szCs w:val="20"/>
              </w:rPr>
            </w:pPr>
          </w:p>
          <w:p w14:paraId="39140489" w14:textId="77777777" w:rsidR="008343F0" w:rsidRDefault="008343F0" w:rsidP="008343F0">
            <w:pPr>
              <w:rPr>
                <w:rFonts w:ascii="Arial" w:hAnsi="Arial" w:cs="Arial"/>
                <w:sz w:val="20"/>
                <w:szCs w:val="20"/>
              </w:rPr>
            </w:pPr>
          </w:p>
          <w:p w14:paraId="7F0AAB31" w14:textId="77777777" w:rsidR="008343F0" w:rsidRDefault="008343F0" w:rsidP="008343F0">
            <w:pPr>
              <w:rPr>
                <w:rFonts w:ascii="Arial" w:hAnsi="Arial" w:cs="Arial"/>
                <w:sz w:val="20"/>
                <w:szCs w:val="20"/>
              </w:rPr>
            </w:pPr>
          </w:p>
          <w:p w14:paraId="2C65046C" w14:textId="77777777" w:rsidR="008343F0" w:rsidRDefault="008343F0" w:rsidP="008343F0">
            <w:pPr>
              <w:rPr>
                <w:rFonts w:ascii="Arial" w:hAnsi="Arial" w:cs="Arial"/>
                <w:sz w:val="20"/>
                <w:szCs w:val="20"/>
              </w:rPr>
            </w:pPr>
          </w:p>
          <w:p w14:paraId="2E58BD89" w14:textId="77777777" w:rsidR="008343F0" w:rsidRDefault="008343F0" w:rsidP="008343F0">
            <w:pPr>
              <w:rPr>
                <w:rFonts w:ascii="Arial" w:hAnsi="Arial" w:cs="Arial"/>
                <w:sz w:val="20"/>
                <w:szCs w:val="20"/>
              </w:rPr>
            </w:pPr>
          </w:p>
          <w:p w14:paraId="509E655C" w14:textId="77777777" w:rsidR="008343F0" w:rsidRDefault="008343F0" w:rsidP="008343F0">
            <w:pPr>
              <w:rPr>
                <w:rFonts w:ascii="Arial" w:hAnsi="Arial" w:cs="Arial"/>
                <w:sz w:val="20"/>
                <w:szCs w:val="20"/>
              </w:rPr>
            </w:pPr>
          </w:p>
          <w:p w14:paraId="14CF49E3" w14:textId="77777777" w:rsidR="008343F0" w:rsidRDefault="008343F0" w:rsidP="008343F0">
            <w:pPr>
              <w:rPr>
                <w:rFonts w:ascii="Arial" w:hAnsi="Arial" w:cs="Arial"/>
                <w:sz w:val="20"/>
                <w:szCs w:val="20"/>
              </w:rPr>
            </w:pPr>
          </w:p>
          <w:p w14:paraId="6C0B7FEC" w14:textId="77777777" w:rsidR="00CC694D" w:rsidRDefault="00CC694D" w:rsidP="008343F0">
            <w:pPr>
              <w:rPr>
                <w:rFonts w:ascii="Arial" w:hAnsi="Arial" w:cs="Arial"/>
                <w:sz w:val="20"/>
                <w:szCs w:val="20"/>
              </w:rPr>
            </w:pPr>
          </w:p>
          <w:p w14:paraId="3C0CAC5A" w14:textId="77777777" w:rsidR="00CC694D" w:rsidRDefault="00CC694D" w:rsidP="008343F0">
            <w:pPr>
              <w:rPr>
                <w:rFonts w:ascii="Arial" w:hAnsi="Arial" w:cs="Arial"/>
                <w:sz w:val="20"/>
                <w:szCs w:val="20"/>
              </w:rPr>
            </w:pPr>
          </w:p>
          <w:p w14:paraId="44DE2E59" w14:textId="77777777" w:rsidR="008343F0" w:rsidRDefault="008343F0" w:rsidP="008343F0">
            <w:pPr>
              <w:rPr>
                <w:rFonts w:ascii="Arial" w:hAnsi="Arial" w:cs="Arial"/>
                <w:sz w:val="20"/>
                <w:szCs w:val="20"/>
              </w:rPr>
            </w:pPr>
          </w:p>
          <w:p w14:paraId="417B4A8A" w14:textId="77777777" w:rsidR="008343F0" w:rsidRDefault="008343F0" w:rsidP="008343F0">
            <w:pPr>
              <w:rPr>
                <w:rFonts w:ascii="Arial" w:hAnsi="Arial" w:cs="Arial"/>
                <w:sz w:val="20"/>
                <w:szCs w:val="20"/>
              </w:rPr>
            </w:pPr>
          </w:p>
          <w:p w14:paraId="138429B2" w14:textId="3A59F35B" w:rsidR="00074544" w:rsidRPr="00EE69B1" w:rsidRDefault="00074544" w:rsidP="00074544">
            <w:pPr>
              <w:rPr>
                <w:rFonts w:ascii="Arial" w:hAnsi="Arial" w:cs="Arial"/>
                <w:sz w:val="20"/>
                <w:szCs w:val="20"/>
              </w:rPr>
            </w:pPr>
            <w:r w:rsidRPr="00EE69B1">
              <w:rPr>
                <w:rFonts w:ascii="Arial" w:hAnsi="Arial" w:cs="Arial"/>
                <w:sz w:val="20"/>
                <w:szCs w:val="20"/>
              </w:rPr>
              <w:t>Exclusion criter</w:t>
            </w:r>
            <w:r w:rsidR="00AE37EC">
              <w:rPr>
                <w:rFonts w:ascii="Arial" w:hAnsi="Arial" w:cs="Arial"/>
                <w:sz w:val="20"/>
                <w:szCs w:val="20"/>
              </w:rPr>
              <w:t xml:space="preserve">ia: </w:t>
            </w:r>
            <w:r w:rsidRPr="00EE69B1">
              <w:rPr>
                <w:rFonts w:ascii="Arial" w:hAnsi="Arial" w:cs="Arial"/>
                <w:sz w:val="20"/>
                <w:szCs w:val="20"/>
              </w:rPr>
              <w:t xml:space="preserve"> </w:t>
            </w:r>
          </w:p>
          <w:p w14:paraId="4DC2FB13" w14:textId="334C06B7" w:rsidR="00074544" w:rsidRPr="00EE69B1" w:rsidRDefault="00074544" w:rsidP="001A3E2E">
            <w:pPr>
              <w:pStyle w:val="ListParagraph"/>
              <w:numPr>
                <w:ilvl w:val="0"/>
                <w:numId w:val="22"/>
              </w:numPr>
              <w:rPr>
                <w:rFonts w:ascii="Arial" w:hAnsi="Arial" w:cs="Arial"/>
                <w:sz w:val="20"/>
                <w:szCs w:val="20"/>
              </w:rPr>
            </w:pPr>
            <w:r w:rsidRPr="00EE69B1">
              <w:rPr>
                <w:rFonts w:ascii="Arial" w:hAnsi="Arial" w:cs="Arial"/>
                <w:sz w:val="20"/>
                <w:szCs w:val="20"/>
              </w:rPr>
              <w:t>Intolerant to colistin</w:t>
            </w:r>
            <w:r w:rsidR="002C6ED1">
              <w:rPr>
                <w:rFonts w:ascii="Arial" w:hAnsi="Arial" w:cs="Arial"/>
                <w:sz w:val="20"/>
                <w:szCs w:val="20"/>
              </w:rPr>
              <w:t>.</w:t>
            </w:r>
            <w:r w:rsidRPr="00EE69B1">
              <w:rPr>
                <w:rFonts w:ascii="Arial" w:hAnsi="Arial" w:cs="Arial"/>
                <w:sz w:val="20"/>
                <w:szCs w:val="20"/>
              </w:rPr>
              <w:t xml:space="preserve"> </w:t>
            </w:r>
          </w:p>
          <w:p w14:paraId="4C26F36D" w14:textId="77777777" w:rsidR="00074544" w:rsidRPr="002C6ED1" w:rsidRDefault="00074544" w:rsidP="001A3E2E">
            <w:pPr>
              <w:pStyle w:val="ListParagraph"/>
              <w:numPr>
                <w:ilvl w:val="0"/>
                <w:numId w:val="22"/>
              </w:numPr>
              <w:rPr>
                <w:rFonts w:ascii="Arial" w:hAnsi="Arial" w:cs="Arial"/>
                <w:color w:val="000000" w:themeColor="text1"/>
                <w:sz w:val="20"/>
                <w:szCs w:val="20"/>
              </w:rPr>
            </w:pPr>
            <w:r w:rsidRPr="002C6ED1">
              <w:rPr>
                <w:rFonts w:ascii="Arial" w:hAnsi="Arial" w:cs="Arial"/>
                <w:color w:val="000000" w:themeColor="text1"/>
                <w:sz w:val="20"/>
                <w:szCs w:val="20"/>
              </w:rPr>
              <w:t xml:space="preserve">Unable to emulate this criterion </w:t>
            </w:r>
          </w:p>
          <w:p w14:paraId="0D55692E" w14:textId="6B87C747" w:rsidR="00074544" w:rsidRPr="00EE69B1" w:rsidRDefault="00E72A67" w:rsidP="001A3E2E">
            <w:pPr>
              <w:pStyle w:val="ListParagraph"/>
              <w:numPr>
                <w:ilvl w:val="0"/>
                <w:numId w:val="22"/>
              </w:numPr>
              <w:rPr>
                <w:rFonts w:ascii="Arial" w:hAnsi="Arial" w:cs="Arial"/>
                <w:sz w:val="20"/>
                <w:szCs w:val="20"/>
              </w:rPr>
            </w:pPr>
            <w:r>
              <w:rPr>
                <w:rFonts w:ascii="Arial" w:hAnsi="Arial" w:cs="Arial"/>
                <w:sz w:val="20"/>
                <w:szCs w:val="20"/>
              </w:rPr>
              <w:t xml:space="preserve">People who have gone from chronic/intermittent </w:t>
            </w:r>
            <w:r w:rsidRPr="00B066BD">
              <w:rPr>
                <w:rFonts w:ascii="Arial" w:hAnsi="Arial" w:cs="Arial"/>
                <w:i/>
                <w:iCs/>
                <w:sz w:val="20"/>
                <w:szCs w:val="20"/>
              </w:rPr>
              <w:t xml:space="preserve">Pseudomonas aeruginosa </w:t>
            </w:r>
            <w:r>
              <w:rPr>
                <w:rFonts w:ascii="Arial" w:hAnsi="Arial" w:cs="Arial"/>
                <w:sz w:val="20"/>
                <w:szCs w:val="20"/>
              </w:rPr>
              <w:t xml:space="preserve">to negative </w:t>
            </w:r>
            <w:r w:rsidRPr="00B066BD">
              <w:rPr>
                <w:rFonts w:ascii="Arial" w:hAnsi="Arial" w:cs="Arial"/>
                <w:i/>
                <w:iCs/>
                <w:sz w:val="20"/>
                <w:szCs w:val="20"/>
              </w:rPr>
              <w:t>Pseudomonas aeruginosa</w:t>
            </w:r>
            <w:r>
              <w:rPr>
                <w:rFonts w:ascii="Arial" w:hAnsi="Arial" w:cs="Arial"/>
                <w:sz w:val="20"/>
                <w:szCs w:val="20"/>
              </w:rPr>
              <w:t xml:space="preserve"> status. </w:t>
            </w:r>
          </w:p>
          <w:p w14:paraId="20B0AF41" w14:textId="77777777" w:rsidR="00074544" w:rsidRPr="002C6ED1" w:rsidRDefault="00074544" w:rsidP="001A3E2E">
            <w:pPr>
              <w:pStyle w:val="ListParagraph"/>
              <w:numPr>
                <w:ilvl w:val="0"/>
                <w:numId w:val="22"/>
              </w:numPr>
              <w:rPr>
                <w:rFonts w:ascii="Arial" w:hAnsi="Arial" w:cs="Arial"/>
                <w:color w:val="000000" w:themeColor="text1"/>
                <w:sz w:val="20"/>
                <w:szCs w:val="20"/>
              </w:rPr>
            </w:pPr>
            <w:r w:rsidRPr="002C6ED1">
              <w:rPr>
                <w:rFonts w:ascii="Arial" w:hAnsi="Arial" w:cs="Arial"/>
                <w:color w:val="000000" w:themeColor="text1"/>
                <w:sz w:val="20"/>
                <w:szCs w:val="20"/>
              </w:rPr>
              <w:t xml:space="preserve">Unable to emulate this criterion </w:t>
            </w:r>
          </w:p>
          <w:p w14:paraId="3540042A" w14:textId="193E6DA9" w:rsidR="00074544" w:rsidRPr="00EE69B1" w:rsidRDefault="00074544" w:rsidP="001A3E2E">
            <w:pPr>
              <w:pStyle w:val="ListParagraph"/>
              <w:numPr>
                <w:ilvl w:val="0"/>
                <w:numId w:val="22"/>
              </w:numPr>
              <w:rPr>
                <w:rFonts w:ascii="Arial" w:hAnsi="Arial" w:cs="Arial"/>
                <w:sz w:val="20"/>
                <w:szCs w:val="20"/>
              </w:rPr>
            </w:pPr>
            <w:r w:rsidRPr="00EE69B1">
              <w:rPr>
                <w:rFonts w:ascii="Arial" w:hAnsi="Arial" w:cs="Arial"/>
                <w:sz w:val="20"/>
                <w:szCs w:val="20"/>
              </w:rPr>
              <w:t>Individuals with an undelivered pregnancy</w:t>
            </w:r>
            <w:r w:rsidR="006A57A8">
              <w:rPr>
                <w:rFonts w:ascii="Arial" w:hAnsi="Arial" w:cs="Arial"/>
                <w:sz w:val="20"/>
                <w:szCs w:val="20"/>
              </w:rPr>
              <w:t xml:space="preserve">. </w:t>
            </w:r>
          </w:p>
          <w:p w14:paraId="73EC97E5" w14:textId="77777777" w:rsidR="00074544" w:rsidRPr="006A57A8" w:rsidRDefault="00074544" w:rsidP="001A3E2E">
            <w:pPr>
              <w:pStyle w:val="ListParagraph"/>
              <w:numPr>
                <w:ilvl w:val="0"/>
                <w:numId w:val="22"/>
              </w:numPr>
              <w:rPr>
                <w:rFonts w:ascii="Arial" w:hAnsi="Arial" w:cs="Arial"/>
                <w:color w:val="000000" w:themeColor="text1"/>
                <w:sz w:val="20"/>
                <w:szCs w:val="20"/>
              </w:rPr>
            </w:pPr>
            <w:r w:rsidRPr="006A57A8">
              <w:rPr>
                <w:rFonts w:ascii="Arial" w:hAnsi="Arial" w:cs="Arial"/>
                <w:color w:val="000000" w:themeColor="text1"/>
                <w:sz w:val="20"/>
                <w:szCs w:val="20"/>
              </w:rPr>
              <w:t xml:space="preserve">NA </w:t>
            </w:r>
          </w:p>
          <w:p w14:paraId="568C27D2" w14:textId="77777777" w:rsidR="00074544" w:rsidRPr="006A57A8" w:rsidRDefault="00074544" w:rsidP="001A3E2E">
            <w:pPr>
              <w:pStyle w:val="ListParagraph"/>
              <w:numPr>
                <w:ilvl w:val="0"/>
                <w:numId w:val="22"/>
              </w:numPr>
              <w:rPr>
                <w:rFonts w:ascii="Arial" w:hAnsi="Arial" w:cs="Arial"/>
                <w:color w:val="000000" w:themeColor="text1"/>
                <w:sz w:val="20"/>
                <w:szCs w:val="20"/>
              </w:rPr>
            </w:pPr>
            <w:r w:rsidRPr="006A57A8">
              <w:rPr>
                <w:rFonts w:ascii="Arial" w:hAnsi="Arial" w:cs="Arial"/>
                <w:color w:val="000000" w:themeColor="text1"/>
                <w:sz w:val="20"/>
                <w:szCs w:val="20"/>
              </w:rPr>
              <w:t>NA</w:t>
            </w:r>
          </w:p>
          <w:p w14:paraId="59E09867" w14:textId="77777777" w:rsidR="00074544" w:rsidRPr="006A57A8" w:rsidRDefault="00074544" w:rsidP="001A3E2E">
            <w:pPr>
              <w:pStyle w:val="ListParagraph"/>
              <w:numPr>
                <w:ilvl w:val="0"/>
                <w:numId w:val="22"/>
              </w:numPr>
              <w:rPr>
                <w:rFonts w:ascii="Arial" w:hAnsi="Arial" w:cs="Arial"/>
                <w:color w:val="000000" w:themeColor="text1"/>
                <w:sz w:val="20"/>
                <w:szCs w:val="20"/>
              </w:rPr>
            </w:pPr>
            <w:r w:rsidRPr="006A57A8">
              <w:rPr>
                <w:rFonts w:ascii="Arial" w:hAnsi="Arial" w:cs="Arial"/>
                <w:color w:val="000000" w:themeColor="text1"/>
                <w:sz w:val="20"/>
                <w:szCs w:val="20"/>
              </w:rPr>
              <w:t>NA</w:t>
            </w:r>
          </w:p>
          <w:p w14:paraId="18437D97" w14:textId="77777777" w:rsidR="00074544" w:rsidRPr="006A57A8" w:rsidRDefault="00074544" w:rsidP="001A3E2E">
            <w:pPr>
              <w:pStyle w:val="ListParagraph"/>
              <w:numPr>
                <w:ilvl w:val="0"/>
                <w:numId w:val="22"/>
              </w:numPr>
              <w:rPr>
                <w:rFonts w:ascii="Arial" w:hAnsi="Arial" w:cs="Arial"/>
                <w:color w:val="000000" w:themeColor="text1"/>
                <w:sz w:val="20"/>
                <w:szCs w:val="20"/>
              </w:rPr>
            </w:pPr>
            <w:r w:rsidRPr="006A57A8">
              <w:rPr>
                <w:rFonts w:ascii="Arial" w:hAnsi="Arial" w:cs="Arial"/>
                <w:color w:val="000000" w:themeColor="text1"/>
                <w:sz w:val="20"/>
                <w:szCs w:val="20"/>
              </w:rPr>
              <w:t>Unable to emulate this criterion</w:t>
            </w:r>
          </w:p>
          <w:p w14:paraId="7035B8FC" w14:textId="77777777" w:rsidR="00074544" w:rsidRPr="006A57A8" w:rsidRDefault="00074544" w:rsidP="001A3E2E">
            <w:pPr>
              <w:pStyle w:val="ListParagraph"/>
              <w:numPr>
                <w:ilvl w:val="0"/>
                <w:numId w:val="22"/>
              </w:numPr>
              <w:rPr>
                <w:rFonts w:ascii="Arial" w:hAnsi="Arial" w:cs="Arial"/>
                <w:color w:val="000000" w:themeColor="text1"/>
                <w:sz w:val="20"/>
                <w:szCs w:val="20"/>
              </w:rPr>
            </w:pPr>
            <w:r w:rsidRPr="006A57A8">
              <w:rPr>
                <w:rFonts w:ascii="Arial" w:hAnsi="Arial" w:cs="Arial"/>
                <w:color w:val="000000" w:themeColor="text1"/>
                <w:sz w:val="20"/>
                <w:szCs w:val="20"/>
              </w:rPr>
              <w:t>NA</w:t>
            </w:r>
          </w:p>
          <w:p w14:paraId="58067F0D" w14:textId="390053F4" w:rsidR="00074544" w:rsidRPr="00EE69B1" w:rsidRDefault="00074544" w:rsidP="001A3E2E">
            <w:pPr>
              <w:pStyle w:val="ListParagraph"/>
              <w:numPr>
                <w:ilvl w:val="0"/>
                <w:numId w:val="22"/>
              </w:numPr>
              <w:rPr>
                <w:rFonts w:ascii="Arial" w:hAnsi="Arial" w:cs="Arial"/>
                <w:sz w:val="20"/>
                <w:szCs w:val="20"/>
              </w:rPr>
            </w:pPr>
            <w:r w:rsidRPr="00EE69B1">
              <w:rPr>
                <w:rFonts w:ascii="Arial" w:hAnsi="Arial" w:cs="Arial"/>
                <w:sz w:val="20"/>
                <w:szCs w:val="20"/>
              </w:rPr>
              <w:t>People who have had less than 28 days off inhaled colisti</w:t>
            </w:r>
            <w:r w:rsidR="006A57A8">
              <w:rPr>
                <w:rFonts w:ascii="Arial" w:hAnsi="Arial" w:cs="Arial"/>
                <w:sz w:val="20"/>
                <w:szCs w:val="20"/>
              </w:rPr>
              <w:t xml:space="preserve">n. </w:t>
            </w:r>
          </w:p>
          <w:p w14:paraId="0C44F7F5" w14:textId="1CFB6BE4" w:rsidR="00074544" w:rsidRPr="008F101D" w:rsidRDefault="00074544" w:rsidP="001A3E2E">
            <w:pPr>
              <w:pStyle w:val="ListParagraph"/>
              <w:numPr>
                <w:ilvl w:val="0"/>
                <w:numId w:val="22"/>
              </w:numPr>
              <w:rPr>
                <w:rFonts w:ascii="Arial" w:hAnsi="Arial" w:cs="Arial"/>
                <w:color w:val="000000" w:themeColor="text1"/>
                <w:sz w:val="20"/>
                <w:szCs w:val="20"/>
              </w:rPr>
            </w:pPr>
            <w:r w:rsidRPr="008F101D">
              <w:rPr>
                <w:rFonts w:ascii="Arial" w:hAnsi="Arial" w:cs="Arial"/>
                <w:color w:val="000000" w:themeColor="text1"/>
                <w:sz w:val="20"/>
                <w:szCs w:val="20"/>
              </w:rPr>
              <w:t>Unable to emulate this criterion</w:t>
            </w:r>
            <w:r w:rsidR="008F101D" w:rsidRPr="008F101D">
              <w:rPr>
                <w:rFonts w:ascii="Arial" w:hAnsi="Arial" w:cs="Arial"/>
                <w:color w:val="000000" w:themeColor="text1"/>
                <w:sz w:val="20"/>
                <w:szCs w:val="20"/>
              </w:rPr>
              <w:t xml:space="preserve">. Reasons for treatment prescription are not recorded in the Registry. </w:t>
            </w:r>
          </w:p>
          <w:p w14:paraId="4CE92A80" w14:textId="7512AD72" w:rsidR="00074544" w:rsidRPr="00222145" w:rsidRDefault="00074544" w:rsidP="001A3E2E">
            <w:pPr>
              <w:pStyle w:val="ListParagraph"/>
              <w:numPr>
                <w:ilvl w:val="0"/>
                <w:numId w:val="22"/>
              </w:numPr>
              <w:rPr>
                <w:rFonts w:ascii="Arial" w:hAnsi="Arial" w:cs="Arial"/>
                <w:color w:val="000000" w:themeColor="text1"/>
                <w:sz w:val="20"/>
                <w:szCs w:val="20"/>
              </w:rPr>
            </w:pPr>
            <w:r w:rsidRPr="00222145">
              <w:rPr>
                <w:rFonts w:ascii="Arial" w:hAnsi="Arial" w:cs="Arial"/>
                <w:color w:val="000000" w:themeColor="text1"/>
                <w:sz w:val="20"/>
                <w:szCs w:val="20"/>
              </w:rPr>
              <w:t>Unable to emulate this criterion</w:t>
            </w:r>
            <w:r w:rsidR="00222145" w:rsidRPr="00222145">
              <w:rPr>
                <w:rFonts w:ascii="Arial" w:hAnsi="Arial" w:cs="Arial"/>
                <w:color w:val="000000" w:themeColor="text1"/>
                <w:sz w:val="20"/>
                <w:szCs w:val="20"/>
              </w:rPr>
              <w:t>.</w:t>
            </w:r>
          </w:p>
          <w:p w14:paraId="281048B1" w14:textId="15F36A47" w:rsidR="00074544" w:rsidRPr="00EE69B1" w:rsidRDefault="00074544" w:rsidP="001A3E2E">
            <w:pPr>
              <w:pStyle w:val="ListParagraph"/>
              <w:numPr>
                <w:ilvl w:val="0"/>
                <w:numId w:val="22"/>
              </w:numPr>
              <w:rPr>
                <w:rFonts w:ascii="Arial" w:hAnsi="Arial" w:cs="Arial"/>
                <w:sz w:val="20"/>
                <w:szCs w:val="20"/>
              </w:rPr>
            </w:pPr>
            <w:r w:rsidRPr="00EE69B1">
              <w:rPr>
                <w:rFonts w:ascii="Arial" w:hAnsi="Arial" w:cs="Arial"/>
                <w:sz w:val="20"/>
                <w:szCs w:val="20"/>
              </w:rPr>
              <w:t xml:space="preserve">Record of </w:t>
            </w:r>
            <w:r w:rsidRPr="00B066BD">
              <w:rPr>
                <w:rFonts w:ascii="Arial" w:hAnsi="Arial" w:cs="Arial"/>
                <w:i/>
                <w:iCs/>
                <w:sz w:val="20"/>
                <w:szCs w:val="20"/>
              </w:rPr>
              <w:t>B</w:t>
            </w:r>
            <w:r w:rsidR="00234278">
              <w:rPr>
                <w:rFonts w:ascii="Arial" w:hAnsi="Arial" w:cs="Arial"/>
                <w:i/>
                <w:iCs/>
                <w:sz w:val="20"/>
                <w:szCs w:val="20"/>
              </w:rPr>
              <w:t>urkholderia</w:t>
            </w:r>
            <w:r w:rsidRPr="00B066BD">
              <w:rPr>
                <w:rFonts w:ascii="Arial" w:hAnsi="Arial" w:cs="Arial"/>
                <w:i/>
                <w:iCs/>
                <w:sz w:val="20"/>
                <w:szCs w:val="20"/>
              </w:rPr>
              <w:t xml:space="preserve"> cepacia</w:t>
            </w:r>
            <w:r w:rsidRPr="00EE69B1">
              <w:rPr>
                <w:rFonts w:ascii="Arial" w:hAnsi="Arial" w:cs="Arial"/>
                <w:sz w:val="20"/>
                <w:szCs w:val="20"/>
              </w:rPr>
              <w:t xml:space="preserve"> bacterial growth</w:t>
            </w:r>
            <w:r w:rsidR="00222145">
              <w:rPr>
                <w:rFonts w:ascii="Arial" w:hAnsi="Arial" w:cs="Arial"/>
                <w:sz w:val="20"/>
                <w:szCs w:val="20"/>
              </w:rPr>
              <w:t>.</w:t>
            </w:r>
          </w:p>
          <w:p w14:paraId="13C18020" w14:textId="303223BE" w:rsidR="00074544" w:rsidRPr="00EE69B1" w:rsidRDefault="00074544" w:rsidP="001A3E2E">
            <w:pPr>
              <w:pStyle w:val="ListParagraph"/>
              <w:numPr>
                <w:ilvl w:val="0"/>
                <w:numId w:val="22"/>
              </w:numPr>
              <w:rPr>
                <w:rFonts w:ascii="Arial" w:hAnsi="Arial" w:cs="Arial"/>
                <w:sz w:val="20"/>
                <w:szCs w:val="20"/>
              </w:rPr>
            </w:pPr>
            <w:r w:rsidRPr="00EE69B1">
              <w:rPr>
                <w:rFonts w:ascii="Arial" w:hAnsi="Arial" w:cs="Arial"/>
                <w:sz w:val="20"/>
                <w:szCs w:val="20"/>
              </w:rPr>
              <w:t>Record of ABPA</w:t>
            </w:r>
            <w:r w:rsidR="00222145">
              <w:rPr>
                <w:rFonts w:ascii="Arial" w:hAnsi="Arial" w:cs="Arial"/>
                <w:sz w:val="20"/>
                <w:szCs w:val="20"/>
              </w:rPr>
              <w:t>.</w:t>
            </w:r>
          </w:p>
          <w:p w14:paraId="3AD16BA2" w14:textId="4D923867" w:rsidR="00074544" w:rsidRPr="00222145" w:rsidRDefault="00074544" w:rsidP="001A3E2E">
            <w:pPr>
              <w:pStyle w:val="ListParagraph"/>
              <w:numPr>
                <w:ilvl w:val="0"/>
                <w:numId w:val="22"/>
              </w:numPr>
              <w:rPr>
                <w:rFonts w:ascii="Arial" w:hAnsi="Arial" w:cs="Arial"/>
                <w:color w:val="000000" w:themeColor="text1"/>
                <w:sz w:val="20"/>
                <w:szCs w:val="20"/>
              </w:rPr>
            </w:pPr>
            <w:r w:rsidRPr="00222145">
              <w:rPr>
                <w:rFonts w:ascii="Arial" w:hAnsi="Arial" w:cs="Arial"/>
                <w:color w:val="000000" w:themeColor="text1"/>
                <w:sz w:val="20"/>
                <w:szCs w:val="20"/>
              </w:rPr>
              <w:t>Unable to emulate criterion</w:t>
            </w:r>
          </w:p>
        </w:tc>
      </w:tr>
    </w:tbl>
    <w:p w14:paraId="19C75B5D" w14:textId="77777777" w:rsidR="00A2486B" w:rsidRPr="00A2486B" w:rsidRDefault="00A2486B" w:rsidP="00A2486B">
      <w:pPr>
        <w:rPr>
          <w:rFonts w:ascii="Arial" w:hAnsi="Arial" w:cs="Arial"/>
          <w:sz w:val="20"/>
          <w:szCs w:val="20"/>
        </w:rPr>
      </w:pPr>
    </w:p>
    <w:p w14:paraId="1008BE2E" w14:textId="6867482B" w:rsidR="00A2486B" w:rsidRPr="00A2486B" w:rsidRDefault="00121AF5" w:rsidP="00121AF5">
      <w:pPr>
        <w:pStyle w:val="Heading3"/>
      </w:pPr>
      <w:r>
        <w:t xml:space="preserve">4.3.2 </w:t>
      </w:r>
      <w:r w:rsidR="00A2486B" w:rsidRPr="00A2486B">
        <w:t>Treatment strategies</w:t>
      </w:r>
    </w:p>
    <w:p w14:paraId="3A749173" w14:textId="0FAB5C04" w:rsidR="00A2486B" w:rsidRPr="00A2486B" w:rsidRDefault="00A2486B" w:rsidP="00A2486B">
      <w:pPr>
        <w:rPr>
          <w:rFonts w:ascii="Arial" w:hAnsi="Arial" w:cs="Arial"/>
          <w:sz w:val="20"/>
          <w:szCs w:val="20"/>
        </w:rPr>
      </w:pPr>
      <w:r w:rsidRPr="00A2486B">
        <w:rPr>
          <w:rFonts w:ascii="Arial" w:hAnsi="Arial" w:cs="Arial"/>
          <w:sz w:val="20"/>
          <w:szCs w:val="20"/>
        </w:rPr>
        <w:t xml:space="preserve">Target trial </w:t>
      </w:r>
      <w:r w:rsidR="0053596C">
        <w:rPr>
          <w:rFonts w:ascii="Arial" w:hAnsi="Arial" w:cs="Arial"/>
          <w:sz w:val="20"/>
          <w:szCs w:val="20"/>
        </w:rPr>
        <w:t>2</w:t>
      </w:r>
      <w:r w:rsidRPr="00A2486B">
        <w:rPr>
          <w:rFonts w:ascii="Arial" w:hAnsi="Arial" w:cs="Arial"/>
          <w:sz w:val="20"/>
          <w:szCs w:val="20"/>
        </w:rPr>
        <w:t xml:space="preserve"> compared the following treatment strategies: </w:t>
      </w:r>
    </w:p>
    <w:p w14:paraId="552773D2" w14:textId="77777777" w:rsidR="00666A13" w:rsidRPr="00EE69B1" w:rsidRDefault="00A2486B" w:rsidP="00666A13">
      <w:pPr>
        <w:rPr>
          <w:rFonts w:ascii="Arial" w:hAnsi="Arial" w:cs="Arial"/>
          <w:sz w:val="20"/>
          <w:szCs w:val="20"/>
        </w:rPr>
      </w:pPr>
      <w:r w:rsidRPr="00EE69B1">
        <w:rPr>
          <w:rFonts w:ascii="Arial" w:hAnsi="Arial" w:cs="Arial"/>
          <w:sz w:val="20"/>
          <w:szCs w:val="20"/>
        </w:rPr>
        <w:t xml:space="preserve">(1) Active: </w:t>
      </w:r>
      <w:r w:rsidR="00666A13" w:rsidRPr="00EE69B1">
        <w:rPr>
          <w:rFonts w:ascii="Arial" w:hAnsi="Arial" w:cs="Arial"/>
          <w:sz w:val="20"/>
          <w:szCs w:val="20"/>
        </w:rPr>
        <w:t>Colobreathe dry powder for inhalation (CDPI, one capsule containing colistimethate sodium 1 662 500 IU, twice daily)</w:t>
      </w:r>
    </w:p>
    <w:p w14:paraId="6C08636C" w14:textId="77777777" w:rsidR="00BC3DA3" w:rsidRPr="00EE69B1" w:rsidRDefault="00A2486B" w:rsidP="00A2486B">
      <w:pPr>
        <w:rPr>
          <w:rFonts w:ascii="Arial" w:hAnsi="Arial" w:cs="Arial"/>
          <w:sz w:val="20"/>
          <w:szCs w:val="20"/>
        </w:rPr>
      </w:pPr>
      <w:r w:rsidRPr="00EE69B1">
        <w:rPr>
          <w:rFonts w:ascii="Arial" w:hAnsi="Arial" w:cs="Arial"/>
          <w:sz w:val="20"/>
          <w:szCs w:val="20"/>
        </w:rPr>
        <w:t xml:space="preserve">(2) Comparator: </w:t>
      </w:r>
      <w:r w:rsidR="00BC3DA3" w:rsidRPr="00EE69B1">
        <w:rPr>
          <w:rFonts w:ascii="Arial" w:hAnsi="Arial" w:cs="Arial"/>
          <w:sz w:val="20"/>
          <w:szCs w:val="20"/>
        </w:rPr>
        <w:t xml:space="preserve">Three 28-day cycles with twice-daily 300mg/5ml tobramycin inhaler solution (TIS) </w:t>
      </w:r>
    </w:p>
    <w:p w14:paraId="06EC9012" w14:textId="0BBD8E04" w:rsidR="00A2486B" w:rsidRPr="00A2486B" w:rsidRDefault="00EE21F5" w:rsidP="00A2486B">
      <w:pPr>
        <w:rPr>
          <w:rFonts w:ascii="Arial" w:hAnsi="Arial" w:cs="Arial"/>
          <w:sz w:val="20"/>
          <w:szCs w:val="20"/>
        </w:rPr>
      </w:pPr>
      <w:r w:rsidRPr="00AA62F7">
        <w:rPr>
          <w:rFonts w:ascii="Arial" w:hAnsi="Arial" w:cs="Arial"/>
          <w:sz w:val="20"/>
          <w:szCs w:val="20"/>
        </w:rPr>
        <w:t>We will emulate these using data on treatment prescription</w:t>
      </w:r>
      <w:r>
        <w:rPr>
          <w:rFonts w:ascii="Arial" w:hAnsi="Arial" w:cs="Arial"/>
          <w:sz w:val="20"/>
          <w:szCs w:val="20"/>
        </w:rPr>
        <w:t xml:space="preserve"> (either using prescription dates or data from annual reviews)</w:t>
      </w:r>
      <w:r w:rsidRPr="00AA62F7">
        <w:rPr>
          <w:rFonts w:ascii="Arial" w:hAnsi="Arial" w:cs="Arial"/>
          <w:sz w:val="20"/>
          <w:szCs w:val="20"/>
        </w:rPr>
        <w:t xml:space="preserve">. </w:t>
      </w:r>
      <w:r w:rsidR="0043386A" w:rsidRPr="00AA62F7">
        <w:rPr>
          <w:rFonts w:ascii="Arial" w:hAnsi="Arial" w:cs="Arial"/>
          <w:sz w:val="20"/>
          <w:szCs w:val="20"/>
        </w:rPr>
        <w:t xml:space="preserve">The active group will include people </w:t>
      </w:r>
      <w:r w:rsidR="0043386A">
        <w:rPr>
          <w:rFonts w:ascii="Arial" w:hAnsi="Arial" w:cs="Arial"/>
          <w:sz w:val="20"/>
          <w:szCs w:val="20"/>
        </w:rPr>
        <w:t xml:space="preserve">who are recorded as taking </w:t>
      </w:r>
      <w:r w:rsidR="001E7B0B">
        <w:rPr>
          <w:rFonts w:ascii="Arial" w:hAnsi="Arial" w:cs="Arial"/>
          <w:sz w:val="20"/>
          <w:szCs w:val="20"/>
        </w:rPr>
        <w:t xml:space="preserve">colistin </w:t>
      </w:r>
      <w:r w:rsidR="0043386A">
        <w:rPr>
          <w:rFonts w:ascii="Arial" w:hAnsi="Arial" w:cs="Arial"/>
          <w:sz w:val="20"/>
          <w:szCs w:val="20"/>
        </w:rPr>
        <w:t xml:space="preserve">and not tobramycin </w:t>
      </w:r>
      <w:r w:rsidR="0043386A" w:rsidRPr="00AA62F7">
        <w:rPr>
          <w:rFonts w:ascii="Arial" w:hAnsi="Arial" w:cs="Arial"/>
          <w:sz w:val="20"/>
          <w:szCs w:val="20"/>
        </w:rPr>
        <w:t xml:space="preserve">and the comparator group will include people </w:t>
      </w:r>
      <w:r w:rsidR="0043386A">
        <w:rPr>
          <w:rFonts w:ascii="Arial" w:hAnsi="Arial" w:cs="Arial"/>
          <w:sz w:val="20"/>
          <w:szCs w:val="20"/>
        </w:rPr>
        <w:t xml:space="preserve">who are recorded as taking </w:t>
      </w:r>
      <w:r w:rsidR="0043386A" w:rsidRPr="00AA62F7">
        <w:rPr>
          <w:rFonts w:ascii="Arial" w:hAnsi="Arial" w:cs="Arial"/>
          <w:sz w:val="20"/>
          <w:szCs w:val="20"/>
        </w:rPr>
        <w:t>tobramycin</w:t>
      </w:r>
      <w:r w:rsidR="0043386A">
        <w:rPr>
          <w:rFonts w:ascii="Arial" w:hAnsi="Arial" w:cs="Arial"/>
          <w:sz w:val="20"/>
          <w:szCs w:val="20"/>
        </w:rPr>
        <w:t xml:space="preserve"> and not </w:t>
      </w:r>
      <w:r w:rsidR="001E7B0B">
        <w:rPr>
          <w:rFonts w:ascii="Arial" w:hAnsi="Arial" w:cs="Arial"/>
          <w:sz w:val="20"/>
          <w:szCs w:val="20"/>
        </w:rPr>
        <w:t>colistin</w:t>
      </w:r>
      <w:r w:rsidR="00A84B09">
        <w:rPr>
          <w:rFonts w:ascii="Arial" w:hAnsi="Arial" w:cs="Arial"/>
          <w:sz w:val="20"/>
          <w:szCs w:val="20"/>
        </w:rPr>
        <w:t>.</w:t>
      </w:r>
    </w:p>
    <w:p w14:paraId="3C5FBF28" w14:textId="4E5971BE" w:rsidR="00A2486B" w:rsidRPr="00A2486B" w:rsidRDefault="00121AF5" w:rsidP="00121AF5">
      <w:pPr>
        <w:pStyle w:val="Heading3"/>
      </w:pPr>
      <w:r>
        <w:t xml:space="preserve">4.3.3 </w:t>
      </w:r>
      <w:r w:rsidR="00A2486B" w:rsidRPr="00A2486B">
        <w:t xml:space="preserve">Outcomes </w:t>
      </w:r>
    </w:p>
    <w:p w14:paraId="40353959" w14:textId="2EB17772" w:rsidR="00A2486B" w:rsidRPr="00A2486B" w:rsidRDefault="00A2486B" w:rsidP="00A2486B">
      <w:pPr>
        <w:rPr>
          <w:rFonts w:ascii="Arial" w:hAnsi="Arial" w:cs="Arial"/>
          <w:sz w:val="20"/>
          <w:szCs w:val="20"/>
        </w:rPr>
      </w:pPr>
      <w:r w:rsidRPr="00A2486B">
        <w:rPr>
          <w:rFonts w:ascii="Arial" w:hAnsi="Arial" w:cs="Arial"/>
          <w:sz w:val="20"/>
          <w:szCs w:val="20"/>
        </w:rPr>
        <w:t xml:space="preserve">Table </w:t>
      </w:r>
      <w:r w:rsidR="00735A03">
        <w:rPr>
          <w:rFonts w:ascii="Arial" w:hAnsi="Arial" w:cs="Arial"/>
          <w:sz w:val="20"/>
          <w:szCs w:val="20"/>
        </w:rPr>
        <w:t>6</w:t>
      </w:r>
      <w:r w:rsidRPr="00A2486B">
        <w:rPr>
          <w:rFonts w:ascii="Arial" w:hAnsi="Arial" w:cs="Arial"/>
          <w:sz w:val="20"/>
          <w:szCs w:val="20"/>
        </w:rPr>
        <w:t xml:space="preserve"> details the outcomes investigated in target trial </w:t>
      </w:r>
      <w:r w:rsidR="00A331F6">
        <w:rPr>
          <w:rFonts w:ascii="Arial" w:hAnsi="Arial" w:cs="Arial"/>
          <w:sz w:val="20"/>
          <w:szCs w:val="20"/>
        </w:rPr>
        <w:t>2</w:t>
      </w:r>
      <w:r w:rsidRPr="00A2486B">
        <w:rPr>
          <w:rFonts w:ascii="Arial" w:hAnsi="Arial" w:cs="Arial"/>
          <w:sz w:val="20"/>
          <w:szCs w:val="20"/>
        </w:rPr>
        <w:t xml:space="preserve"> and how we plan to emulate these criteria using the UK CF Registry data.  </w:t>
      </w:r>
    </w:p>
    <w:tbl>
      <w:tblPr>
        <w:tblStyle w:val="TableGrid"/>
        <w:tblW w:w="0" w:type="auto"/>
        <w:tblLook w:val="04A0" w:firstRow="1" w:lastRow="0" w:firstColumn="1" w:lastColumn="0" w:noHBand="0" w:noVBand="1"/>
      </w:tblPr>
      <w:tblGrid>
        <w:gridCol w:w="4508"/>
        <w:gridCol w:w="4508"/>
      </w:tblGrid>
      <w:tr w:rsidR="00A2486B" w:rsidRPr="00A2486B" w14:paraId="11E9226B" w14:textId="77777777" w:rsidTr="00C40B76">
        <w:tc>
          <w:tcPr>
            <w:tcW w:w="9016" w:type="dxa"/>
            <w:gridSpan w:val="2"/>
            <w:tcBorders>
              <w:top w:val="nil"/>
              <w:left w:val="nil"/>
              <w:bottom w:val="single" w:sz="4" w:space="0" w:color="auto"/>
              <w:right w:val="nil"/>
            </w:tcBorders>
          </w:tcPr>
          <w:p w14:paraId="54E5E0AD" w14:textId="5F1B465A" w:rsidR="00A2486B" w:rsidRPr="00A2486B" w:rsidRDefault="00A2486B" w:rsidP="00C40B76">
            <w:pPr>
              <w:rPr>
                <w:rFonts w:ascii="Arial" w:hAnsi="Arial" w:cs="Arial"/>
                <w:sz w:val="20"/>
                <w:szCs w:val="20"/>
              </w:rPr>
            </w:pPr>
            <w:r w:rsidRPr="00A2486B">
              <w:rPr>
                <w:rFonts w:ascii="Arial" w:hAnsi="Arial" w:cs="Arial"/>
                <w:i/>
                <w:iCs/>
                <w:sz w:val="20"/>
                <w:szCs w:val="20"/>
              </w:rPr>
              <w:t xml:space="preserve">Table </w:t>
            </w:r>
            <w:r w:rsidR="00735A03">
              <w:rPr>
                <w:rFonts w:ascii="Arial" w:hAnsi="Arial" w:cs="Arial"/>
                <w:i/>
                <w:iCs/>
                <w:sz w:val="20"/>
                <w:szCs w:val="20"/>
              </w:rPr>
              <w:t>6</w:t>
            </w:r>
            <w:r w:rsidRPr="00A2486B">
              <w:rPr>
                <w:rFonts w:ascii="Arial" w:hAnsi="Arial" w:cs="Arial"/>
                <w:i/>
                <w:iCs/>
                <w:sz w:val="20"/>
                <w:szCs w:val="20"/>
              </w:rPr>
              <w:t xml:space="preserve">: </w:t>
            </w:r>
            <w:r w:rsidR="00735A03">
              <w:rPr>
                <w:rFonts w:ascii="Arial" w:hAnsi="Arial" w:cs="Arial"/>
                <w:i/>
                <w:iCs/>
                <w:sz w:val="20"/>
                <w:szCs w:val="20"/>
              </w:rPr>
              <w:t>Outcomes</w:t>
            </w:r>
            <w:r w:rsidRPr="00A2486B">
              <w:rPr>
                <w:rFonts w:ascii="Arial" w:hAnsi="Arial" w:cs="Arial"/>
                <w:i/>
                <w:iCs/>
                <w:sz w:val="20"/>
                <w:szCs w:val="20"/>
              </w:rPr>
              <w:t xml:space="preserve"> for target trial </w:t>
            </w:r>
            <w:r w:rsidR="00A331F6">
              <w:rPr>
                <w:rFonts w:ascii="Arial" w:hAnsi="Arial" w:cs="Arial"/>
                <w:i/>
                <w:iCs/>
                <w:sz w:val="20"/>
                <w:szCs w:val="20"/>
              </w:rPr>
              <w:t>2</w:t>
            </w:r>
            <w:r w:rsidRPr="00A2486B">
              <w:rPr>
                <w:rFonts w:ascii="Arial" w:hAnsi="Arial" w:cs="Arial"/>
                <w:i/>
                <w:iCs/>
                <w:sz w:val="20"/>
                <w:szCs w:val="20"/>
              </w:rPr>
              <w:t xml:space="preserve"> and the associated emulated trial </w:t>
            </w:r>
          </w:p>
        </w:tc>
      </w:tr>
      <w:tr w:rsidR="00726233" w:rsidRPr="00A2486B" w14:paraId="7394788E" w14:textId="77777777" w:rsidTr="00C40B76">
        <w:tc>
          <w:tcPr>
            <w:tcW w:w="4508" w:type="dxa"/>
            <w:tcBorders>
              <w:top w:val="single" w:sz="4" w:space="0" w:color="auto"/>
              <w:left w:val="nil"/>
              <w:bottom w:val="single" w:sz="4" w:space="0" w:color="auto"/>
              <w:right w:val="nil"/>
            </w:tcBorders>
          </w:tcPr>
          <w:p w14:paraId="5E312F39" w14:textId="7C7FCBA1" w:rsidR="00726233" w:rsidRPr="00726233" w:rsidRDefault="00726233" w:rsidP="00036BC0">
            <w:pPr>
              <w:rPr>
                <w:rFonts w:ascii="Arial" w:hAnsi="Arial" w:cs="Arial"/>
                <w:b/>
                <w:bCs/>
                <w:sz w:val="20"/>
                <w:szCs w:val="20"/>
              </w:rPr>
            </w:pPr>
            <w:r w:rsidRPr="00726233">
              <w:rPr>
                <w:rFonts w:ascii="Arial" w:hAnsi="Arial" w:cs="Arial"/>
                <w:b/>
                <w:bCs/>
                <w:sz w:val="20"/>
                <w:szCs w:val="20"/>
              </w:rPr>
              <w:t>Target trial</w:t>
            </w:r>
          </w:p>
        </w:tc>
        <w:tc>
          <w:tcPr>
            <w:tcW w:w="4508" w:type="dxa"/>
            <w:tcBorders>
              <w:top w:val="single" w:sz="4" w:space="0" w:color="auto"/>
              <w:left w:val="nil"/>
              <w:bottom w:val="single" w:sz="4" w:space="0" w:color="auto"/>
              <w:right w:val="nil"/>
            </w:tcBorders>
          </w:tcPr>
          <w:p w14:paraId="1FED7454" w14:textId="4838CC3E" w:rsidR="00726233" w:rsidRPr="00726233" w:rsidRDefault="00726233" w:rsidP="00036BC0">
            <w:pPr>
              <w:rPr>
                <w:rFonts w:ascii="Arial" w:hAnsi="Arial" w:cs="Arial"/>
                <w:b/>
                <w:bCs/>
                <w:sz w:val="20"/>
                <w:szCs w:val="20"/>
              </w:rPr>
            </w:pPr>
            <w:r w:rsidRPr="00726233">
              <w:rPr>
                <w:rFonts w:ascii="Arial" w:hAnsi="Arial" w:cs="Arial"/>
                <w:b/>
                <w:bCs/>
                <w:sz w:val="20"/>
                <w:szCs w:val="20"/>
              </w:rPr>
              <w:t>Emulated trial</w:t>
            </w:r>
          </w:p>
        </w:tc>
      </w:tr>
      <w:tr w:rsidR="00036BC0" w:rsidRPr="00A2486B" w14:paraId="03986D81" w14:textId="77777777" w:rsidTr="00C40B76">
        <w:tc>
          <w:tcPr>
            <w:tcW w:w="4508" w:type="dxa"/>
            <w:tcBorders>
              <w:top w:val="single" w:sz="4" w:space="0" w:color="auto"/>
              <w:left w:val="nil"/>
              <w:bottom w:val="single" w:sz="4" w:space="0" w:color="auto"/>
              <w:right w:val="nil"/>
            </w:tcBorders>
          </w:tcPr>
          <w:p w14:paraId="34EC052D" w14:textId="77777777" w:rsidR="00036BC0" w:rsidRPr="00EE69B1" w:rsidRDefault="00036BC0" w:rsidP="00036BC0">
            <w:pPr>
              <w:rPr>
                <w:rFonts w:ascii="Arial" w:hAnsi="Arial" w:cs="Arial"/>
                <w:sz w:val="20"/>
                <w:szCs w:val="20"/>
              </w:rPr>
            </w:pPr>
            <w:r w:rsidRPr="00EE69B1">
              <w:rPr>
                <w:rFonts w:ascii="Arial" w:hAnsi="Arial" w:cs="Arial"/>
                <w:sz w:val="20"/>
                <w:szCs w:val="20"/>
              </w:rPr>
              <w:t>Primary outcomes:</w:t>
            </w:r>
          </w:p>
          <w:p w14:paraId="5D8F534E" w14:textId="472329F8" w:rsidR="00036BC0" w:rsidRPr="00EE69B1" w:rsidRDefault="00036BC0" w:rsidP="001A3E2E">
            <w:pPr>
              <w:pStyle w:val="ListParagraph"/>
              <w:numPr>
                <w:ilvl w:val="0"/>
                <w:numId w:val="12"/>
              </w:numPr>
              <w:rPr>
                <w:rFonts w:ascii="Arial" w:hAnsi="Arial" w:cs="Arial"/>
                <w:sz w:val="20"/>
                <w:szCs w:val="20"/>
              </w:rPr>
            </w:pPr>
            <w:r w:rsidRPr="00EE69B1">
              <w:rPr>
                <w:rFonts w:ascii="Arial" w:hAnsi="Arial" w:cs="Arial"/>
                <w:sz w:val="20"/>
                <w:szCs w:val="20"/>
              </w:rPr>
              <w:t>Change in mean FEV</w:t>
            </w:r>
            <w:r w:rsidRPr="000A0D5E">
              <w:rPr>
                <w:rFonts w:ascii="Arial" w:hAnsi="Arial" w:cs="Arial"/>
                <w:sz w:val="20"/>
                <w:szCs w:val="20"/>
                <w:vertAlign w:val="subscript"/>
              </w:rPr>
              <w:t>1</w:t>
            </w:r>
            <w:r w:rsidR="000A0D5E">
              <w:rPr>
                <w:rFonts w:ascii="Arial" w:hAnsi="Arial" w:cs="Arial"/>
                <w:sz w:val="20"/>
                <w:szCs w:val="20"/>
              </w:rPr>
              <w:t>%</w:t>
            </w:r>
            <w:r w:rsidRPr="00EE69B1">
              <w:rPr>
                <w:rFonts w:ascii="Arial" w:hAnsi="Arial" w:cs="Arial"/>
                <w:sz w:val="20"/>
                <w:szCs w:val="20"/>
              </w:rPr>
              <w:t xml:space="preserve"> from baseline at week 24. (Knudson equations used). </w:t>
            </w:r>
          </w:p>
          <w:p w14:paraId="5E7BCDDF" w14:textId="77777777" w:rsidR="00036BC0" w:rsidRPr="00EE69B1" w:rsidRDefault="00036BC0" w:rsidP="00036BC0">
            <w:pPr>
              <w:rPr>
                <w:rFonts w:ascii="Arial" w:hAnsi="Arial" w:cs="Arial"/>
                <w:sz w:val="20"/>
                <w:szCs w:val="20"/>
              </w:rPr>
            </w:pPr>
          </w:p>
          <w:p w14:paraId="4E95CB7D" w14:textId="2B0DF9DE" w:rsidR="00036BC0" w:rsidRPr="00EE69B1" w:rsidRDefault="00036BC0" w:rsidP="00036BC0">
            <w:pPr>
              <w:rPr>
                <w:rFonts w:ascii="Arial" w:hAnsi="Arial" w:cs="Arial"/>
                <w:sz w:val="20"/>
                <w:szCs w:val="20"/>
              </w:rPr>
            </w:pPr>
            <w:r w:rsidRPr="00EE69B1">
              <w:rPr>
                <w:rFonts w:ascii="Arial" w:hAnsi="Arial" w:cs="Arial"/>
                <w:sz w:val="20"/>
                <w:szCs w:val="20"/>
              </w:rPr>
              <w:t>Secondary outcomes</w:t>
            </w:r>
            <w:r w:rsidR="000A0D5E">
              <w:rPr>
                <w:rFonts w:ascii="Arial" w:hAnsi="Arial" w:cs="Arial"/>
                <w:sz w:val="20"/>
                <w:szCs w:val="20"/>
              </w:rPr>
              <w:t>:</w:t>
            </w:r>
          </w:p>
          <w:p w14:paraId="63AC4E54" w14:textId="7FB6CFCE" w:rsidR="00036BC0" w:rsidRPr="00EE69B1" w:rsidRDefault="00036BC0" w:rsidP="001A3E2E">
            <w:pPr>
              <w:pStyle w:val="ListParagraph"/>
              <w:numPr>
                <w:ilvl w:val="0"/>
                <w:numId w:val="13"/>
              </w:numPr>
              <w:rPr>
                <w:rFonts w:ascii="Arial" w:hAnsi="Arial" w:cs="Arial"/>
                <w:sz w:val="20"/>
                <w:szCs w:val="20"/>
              </w:rPr>
            </w:pPr>
            <w:r w:rsidRPr="00EE69B1">
              <w:rPr>
                <w:rFonts w:ascii="Arial" w:hAnsi="Arial" w:cs="Arial"/>
                <w:sz w:val="20"/>
                <w:szCs w:val="20"/>
              </w:rPr>
              <w:t xml:space="preserve">Changes in microbiological sensitivity of </w:t>
            </w:r>
            <w:r w:rsidRPr="00A84B09">
              <w:rPr>
                <w:rFonts w:ascii="Arial" w:hAnsi="Arial" w:cs="Arial"/>
                <w:i/>
                <w:iCs/>
                <w:sz w:val="20"/>
                <w:szCs w:val="20"/>
              </w:rPr>
              <w:t>P</w:t>
            </w:r>
            <w:r w:rsidR="00234278">
              <w:rPr>
                <w:rFonts w:ascii="Arial" w:hAnsi="Arial" w:cs="Arial"/>
                <w:i/>
                <w:iCs/>
                <w:sz w:val="20"/>
                <w:szCs w:val="20"/>
              </w:rPr>
              <w:t xml:space="preserve">seudomonas </w:t>
            </w:r>
            <w:r w:rsidRPr="00A84B09">
              <w:rPr>
                <w:rFonts w:ascii="Arial" w:hAnsi="Arial" w:cs="Arial"/>
                <w:i/>
                <w:iCs/>
                <w:sz w:val="20"/>
                <w:szCs w:val="20"/>
              </w:rPr>
              <w:t>aeruginosa</w:t>
            </w:r>
            <w:r w:rsidRPr="00EE69B1">
              <w:rPr>
                <w:rFonts w:ascii="Arial" w:hAnsi="Arial" w:cs="Arial"/>
                <w:sz w:val="20"/>
                <w:szCs w:val="20"/>
              </w:rPr>
              <w:t xml:space="preserve"> in each treatment group as measured by in-vitro MIC. </w:t>
            </w:r>
          </w:p>
          <w:p w14:paraId="6445D723" w14:textId="52378D45" w:rsidR="00036BC0" w:rsidRPr="00EE69B1" w:rsidRDefault="00036BC0" w:rsidP="001A3E2E">
            <w:pPr>
              <w:pStyle w:val="ListParagraph"/>
              <w:numPr>
                <w:ilvl w:val="0"/>
                <w:numId w:val="13"/>
              </w:numPr>
              <w:rPr>
                <w:rFonts w:ascii="Arial" w:hAnsi="Arial" w:cs="Arial"/>
                <w:sz w:val="20"/>
                <w:szCs w:val="20"/>
              </w:rPr>
            </w:pPr>
            <w:r w:rsidRPr="00EE69B1">
              <w:rPr>
                <w:rFonts w:ascii="Arial" w:hAnsi="Arial" w:cs="Arial"/>
                <w:sz w:val="20"/>
                <w:szCs w:val="20"/>
              </w:rPr>
              <w:t>Quality of life</w:t>
            </w:r>
            <w:r w:rsidR="000A0D5E">
              <w:rPr>
                <w:rFonts w:ascii="Arial" w:hAnsi="Arial" w:cs="Arial"/>
                <w:sz w:val="20"/>
                <w:szCs w:val="20"/>
              </w:rPr>
              <w:t>.</w:t>
            </w:r>
          </w:p>
          <w:p w14:paraId="665B45C2" w14:textId="77777777" w:rsidR="00036BC0" w:rsidRPr="00EE69B1" w:rsidRDefault="00036BC0" w:rsidP="001A3E2E">
            <w:pPr>
              <w:pStyle w:val="ListParagraph"/>
              <w:numPr>
                <w:ilvl w:val="0"/>
                <w:numId w:val="13"/>
              </w:numPr>
              <w:rPr>
                <w:rFonts w:ascii="Arial" w:hAnsi="Arial" w:cs="Arial"/>
                <w:sz w:val="20"/>
                <w:szCs w:val="20"/>
              </w:rPr>
            </w:pPr>
            <w:r w:rsidRPr="00EE69B1">
              <w:rPr>
                <w:rFonts w:ascii="Arial" w:hAnsi="Arial" w:cs="Arial"/>
                <w:sz w:val="20"/>
                <w:szCs w:val="20"/>
              </w:rPr>
              <w:t>Nutritional status (weight and BMI)</w:t>
            </w:r>
          </w:p>
          <w:p w14:paraId="59F4F3EA" w14:textId="77777777" w:rsidR="000A0D5E" w:rsidRDefault="00036BC0" w:rsidP="001A3E2E">
            <w:pPr>
              <w:pStyle w:val="ListParagraph"/>
              <w:numPr>
                <w:ilvl w:val="0"/>
                <w:numId w:val="13"/>
              </w:numPr>
              <w:rPr>
                <w:rFonts w:ascii="Arial" w:hAnsi="Arial" w:cs="Arial"/>
                <w:sz w:val="20"/>
                <w:szCs w:val="20"/>
              </w:rPr>
            </w:pPr>
            <w:r w:rsidRPr="00EE69B1">
              <w:rPr>
                <w:rFonts w:ascii="Arial" w:hAnsi="Arial" w:cs="Arial"/>
                <w:sz w:val="20"/>
                <w:szCs w:val="20"/>
              </w:rPr>
              <w:t>Time to first acute respiratory exacerbation</w:t>
            </w:r>
            <w:r w:rsidR="000A0D5E">
              <w:rPr>
                <w:rFonts w:ascii="Arial" w:hAnsi="Arial" w:cs="Arial"/>
                <w:sz w:val="20"/>
                <w:szCs w:val="20"/>
              </w:rPr>
              <w:t>.</w:t>
            </w:r>
          </w:p>
          <w:p w14:paraId="28491DA6" w14:textId="1C6496AC" w:rsidR="00036BC0" w:rsidRPr="000A0D5E" w:rsidRDefault="00036BC0" w:rsidP="001A3E2E">
            <w:pPr>
              <w:pStyle w:val="ListParagraph"/>
              <w:numPr>
                <w:ilvl w:val="0"/>
                <w:numId w:val="13"/>
              </w:numPr>
              <w:rPr>
                <w:rFonts w:ascii="Arial" w:hAnsi="Arial" w:cs="Arial"/>
                <w:sz w:val="20"/>
                <w:szCs w:val="20"/>
              </w:rPr>
            </w:pPr>
            <w:r w:rsidRPr="000A0D5E">
              <w:rPr>
                <w:rFonts w:ascii="Arial" w:hAnsi="Arial" w:cs="Arial"/>
                <w:sz w:val="20"/>
                <w:szCs w:val="20"/>
              </w:rPr>
              <w:t>Time to first use (and duration of use) of additional anti-pseudomonal intravenous or oral antibiotics administered for the management of acute respiratory exacerbation.</w:t>
            </w:r>
          </w:p>
        </w:tc>
        <w:tc>
          <w:tcPr>
            <w:tcW w:w="4508" w:type="dxa"/>
            <w:tcBorders>
              <w:top w:val="single" w:sz="4" w:space="0" w:color="auto"/>
              <w:left w:val="nil"/>
              <w:bottom w:val="single" w:sz="4" w:space="0" w:color="auto"/>
              <w:right w:val="nil"/>
            </w:tcBorders>
          </w:tcPr>
          <w:p w14:paraId="68461184" w14:textId="77777777" w:rsidR="00D16EC6" w:rsidRDefault="00036BC0" w:rsidP="00036BC0">
            <w:pPr>
              <w:rPr>
                <w:rFonts w:ascii="Arial" w:hAnsi="Arial" w:cs="Arial"/>
                <w:sz w:val="20"/>
                <w:szCs w:val="20"/>
              </w:rPr>
            </w:pPr>
            <w:r w:rsidRPr="00EE69B1">
              <w:rPr>
                <w:rFonts w:ascii="Arial" w:hAnsi="Arial" w:cs="Arial"/>
                <w:sz w:val="20"/>
                <w:szCs w:val="20"/>
              </w:rPr>
              <w:t xml:space="preserve">Primary outcome: </w:t>
            </w:r>
          </w:p>
          <w:p w14:paraId="3ABAE66E" w14:textId="33E5A1FC" w:rsidR="00036BC0" w:rsidRPr="00D16EC6" w:rsidRDefault="00D16EC6" w:rsidP="001A3E2E">
            <w:pPr>
              <w:pStyle w:val="ListParagraph"/>
              <w:numPr>
                <w:ilvl w:val="0"/>
                <w:numId w:val="23"/>
              </w:numPr>
              <w:rPr>
                <w:rFonts w:ascii="Arial" w:hAnsi="Arial" w:cs="Arial"/>
                <w:sz w:val="20"/>
                <w:szCs w:val="20"/>
              </w:rPr>
            </w:pPr>
            <w:r>
              <w:rPr>
                <w:rFonts w:ascii="Arial" w:hAnsi="Arial" w:cs="Arial"/>
                <w:sz w:val="20"/>
                <w:szCs w:val="20"/>
              </w:rPr>
              <w:t>S</w:t>
            </w:r>
            <w:r w:rsidR="00036BC0" w:rsidRPr="00D16EC6">
              <w:rPr>
                <w:rFonts w:ascii="Arial" w:hAnsi="Arial" w:cs="Arial"/>
                <w:sz w:val="20"/>
                <w:szCs w:val="20"/>
              </w:rPr>
              <w:t>ame as target trial</w:t>
            </w:r>
            <w:r>
              <w:rPr>
                <w:rFonts w:ascii="Arial" w:hAnsi="Arial" w:cs="Arial"/>
                <w:sz w:val="20"/>
                <w:szCs w:val="20"/>
              </w:rPr>
              <w:t>.</w:t>
            </w:r>
            <w:r w:rsidR="00036BC0" w:rsidRPr="00D16EC6">
              <w:rPr>
                <w:rFonts w:ascii="Arial" w:hAnsi="Arial" w:cs="Arial"/>
                <w:sz w:val="20"/>
                <w:szCs w:val="20"/>
              </w:rPr>
              <w:t xml:space="preserve"> </w:t>
            </w:r>
          </w:p>
          <w:p w14:paraId="2F26CC6C" w14:textId="77777777" w:rsidR="00036BC0" w:rsidRPr="00EE69B1" w:rsidRDefault="00036BC0" w:rsidP="00036BC0">
            <w:pPr>
              <w:rPr>
                <w:rFonts w:ascii="Arial" w:hAnsi="Arial" w:cs="Arial"/>
                <w:sz w:val="20"/>
                <w:szCs w:val="20"/>
              </w:rPr>
            </w:pPr>
          </w:p>
          <w:p w14:paraId="6390D52E" w14:textId="77777777" w:rsidR="00D16EC6" w:rsidRDefault="00D16EC6" w:rsidP="00036BC0">
            <w:pPr>
              <w:rPr>
                <w:rFonts w:ascii="Arial" w:hAnsi="Arial" w:cs="Arial"/>
                <w:sz w:val="20"/>
                <w:szCs w:val="20"/>
              </w:rPr>
            </w:pPr>
          </w:p>
          <w:p w14:paraId="514FD4F2" w14:textId="77777777" w:rsidR="00C22402" w:rsidRDefault="00C22402" w:rsidP="00036BC0">
            <w:pPr>
              <w:rPr>
                <w:rFonts w:ascii="Arial" w:hAnsi="Arial" w:cs="Arial"/>
                <w:sz w:val="20"/>
                <w:szCs w:val="20"/>
              </w:rPr>
            </w:pPr>
          </w:p>
          <w:p w14:paraId="7E7D297E" w14:textId="0B840A6E" w:rsidR="00036BC0" w:rsidRPr="00EE69B1" w:rsidRDefault="00036BC0" w:rsidP="00036BC0">
            <w:pPr>
              <w:rPr>
                <w:rFonts w:ascii="Arial" w:hAnsi="Arial" w:cs="Arial"/>
                <w:sz w:val="20"/>
                <w:szCs w:val="20"/>
              </w:rPr>
            </w:pPr>
            <w:r w:rsidRPr="00EE69B1">
              <w:rPr>
                <w:rFonts w:ascii="Arial" w:hAnsi="Arial" w:cs="Arial"/>
                <w:sz w:val="20"/>
                <w:szCs w:val="20"/>
              </w:rPr>
              <w:t>Secondary outcomes:</w:t>
            </w:r>
          </w:p>
          <w:p w14:paraId="22ADB3F2" w14:textId="70F10DA0" w:rsidR="00036BC0" w:rsidRPr="000A0D5E" w:rsidRDefault="00036BC0" w:rsidP="001A3E2E">
            <w:pPr>
              <w:pStyle w:val="ListParagraph"/>
              <w:numPr>
                <w:ilvl w:val="0"/>
                <w:numId w:val="21"/>
              </w:numPr>
              <w:rPr>
                <w:rFonts w:ascii="Arial" w:hAnsi="Arial" w:cs="Arial"/>
                <w:color w:val="000000" w:themeColor="text1"/>
                <w:sz w:val="20"/>
                <w:szCs w:val="20"/>
              </w:rPr>
            </w:pPr>
            <w:r w:rsidRPr="000A0D5E">
              <w:rPr>
                <w:rFonts w:ascii="Arial" w:hAnsi="Arial" w:cs="Arial"/>
                <w:color w:val="000000" w:themeColor="text1"/>
                <w:sz w:val="20"/>
                <w:szCs w:val="20"/>
              </w:rPr>
              <w:t>Unable to emulate</w:t>
            </w:r>
            <w:r w:rsidR="00D16EC6">
              <w:rPr>
                <w:rFonts w:ascii="Arial" w:hAnsi="Arial" w:cs="Arial"/>
                <w:color w:val="000000" w:themeColor="text1"/>
                <w:sz w:val="20"/>
                <w:szCs w:val="20"/>
              </w:rPr>
              <w:t>.</w:t>
            </w:r>
          </w:p>
          <w:p w14:paraId="7CDD176A" w14:textId="6AA4B4D3" w:rsidR="00036BC0" w:rsidRPr="000A0D5E" w:rsidRDefault="00036BC0" w:rsidP="001A3E2E">
            <w:pPr>
              <w:pStyle w:val="ListParagraph"/>
              <w:numPr>
                <w:ilvl w:val="0"/>
                <w:numId w:val="21"/>
              </w:numPr>
              <w:rPr>
                <w:rFonts w:ascii="Arial" w:hAnsi="Arial" w:cs="Arial"/>
                <w:color w:val="000000" w:themeColor="text1"/>
                <w:sz w:val="20"/>
                <w:szCs w:val="20"/>
              </w:rPr>
            </w:pPr>
            <w:r w:rsidRPr="000A0D5E">
              <w:rPr>
                <w:rFonts w:ascii="Arial" w:hAnsi="Arial" w:cs="Arial"/>
                <w:color w:val="000000" w:themeColor="text1"/>
                <w:sz w:val="20"/>
                <w:szCs w:val="20"/>
              </w:rPr>
              <w:t>Unable to emulate</w:t>
            </w:r>
            <w:r w:rsidR="00D16EC6">
              <w:rPr>
                <w:rFonts w:ascii="Arial" w:hAnsi="Arial" w:cs="Arial"/>
                <w:color w:val="000000" w:themeColor="text1"/>
                <w:sz w:val="20"/>
                <w:szCs w:val="20"/>
              </w:rPr>
              <w:t>.</w:t>
            </w:r>
          </w:p>
          <w:p w14:paraId="48D828CE" w14:textId="36B98383" w:rsidR="00036BC0" w:rsidRPr="000A0D5E" w:rsidRDefault="00036BC0" w:rsidP="001A3E2E">
            <w:pPr>
              <w:pStyle w:val="ListParagraph"/>
              <w:numPr>
                <w:ilvl w:val="0"/>
                <w:numId w:val="21"/>
              </w:numPr>
              <w:rPr>
                <w:rFonts w:ascii="Arial" w:hAnsi="Arial" w:cs="Arial"/>
                <w:color w:val="000000" w:themeColor="text1"/>
                <w:sz w:val="20"/>
                <w:szCs w:val="20"/>
              </w:rPr>
            </w:pPr>
            <w:r w:rsidRPr="000A0D5E">
              <w:rPr>
                <w:rFonts w:ascii="Arial" w:hAnsi="Arial" w:cs="Arial"/>
                <w:color w:val="000000" w:themeColor="text1"/>
                <w:sz w:val="20"/>
                <w:szCs w:val="20"/>
              </w:rPr>
              <w:t>Weight and BMI z-score</w:t>
            </w:r>
            <w:r w:rsidR="00D16EC6">
              <w:rPr>
                <w:rFonts w:ascii="Arial" w:hAnsi="Arial" w:cs="Arial"/>
                <w:color w:val="000000" w:themeColor="text1"/>
                <w:sz w:val="20"/>
                <w:szCs w:val="20"/>
              </w:rPr>
              <w:t>.</w:t>
            </w:r>
          </w:p>
          <w:p w14:paraId="27A244DF" w14:textId="05F70A31" w:rsidR="00036BC0" w:rsidRPr="000A0D5E" w:rsidRDefault="00036BC0" w:rsidP="001A3E2E">
            <w:pPr>
              <w:pStyle w:val="ListParagraph"/>
              <w:numPr>
                <w:ilvl w:val="0"/>
                <w:numId w:val="21"/>
              </w:numPr>
              <w:rPr>
                <w:rFonts w:ascii="Arial" w:hAnsi="Arial" w:cs="Arial"/>
                <w:color w:val="000000" w:themeColor="text1"/>
                <w:sz w:val="20"/>
                <w:szCs w:val="20"/>
              </w:rPr>
            </w:pPr>
            <w:r w:rsidRPr="000A0D5E">
              <w:rPr>
                <w:rFonts w:ascii="Arial" w:hAnsi="Arial" w:cs="Arial"/>
                <w:color w:val="000000" w:themeColor="text1"/>
                <w:sz w:val="20"/>
                <w:szCs w:val="20"/>
              </w:rPr>
              <w:t>Unable to emulate</w:t>
            </w:r>
            <w:r w:rsidR="00D16EC6">
              <w:rPr>
                <w:rFonts w:ascii="Arial" w:hAnsi="Arial" w:cs="Arial"/>
                <w:color w:val="000000" w:themeColor="text1"/>
                <w:sz w:val="20"/>
                <w:szCs w:val="20"/>
              </w:rPr>
              <w:t>.</w:t>
            </w:r>
          </w:p>
          <w:p w14:paraId="68CC6054" w14:textId="35FE1C30" w:rsidR="00036BC0" w:rsidRPr="00EE69B1" w:rsidRDefault="00036BC0" w:rsidP="001A3E2E">
            <w:pPr>
              <w:pStyle w:val="ListParagraph"/>
              <w:numPr>
                <w:ilvl w:val="0"/>
                <w:numId w:val="9"/>
              </w:numPr>
              <w:rPr>
                <w:rFonts w:ascii="Arial" w:hAnsi="Arial" w:cs="Arial"/>
                <w:sz w:val="20"/>
                <w:szCs w:val="20"/>
              </w:rPr>
            </w:pPr>
            <w:r w:rsidRPr="000A0D5E">
              <w:rPr>
                <w:rFonts w:ascii="Arial" w:hAnsi="Arial" w:cs="Arial"/>
                <w:color w:val="000000" w:themeColor="text1"/>
                <w:sz w:val="20"/>
                <w:szCs w:val="20"/>
              </w:rPr>
              <w:t>Time to first use of IV antibiotics home or hospital</w:t>
            </w:r>
            <w:r w:rsidR="00D16EC6">
              <w:rPr>
                <w:rFonts w:ascii="Arial" w:hAnsi="Arial" w:cs="Arial"/>
                <w:color w:val="000000" w:themeColor="text1"/>
                <w:sz w:val="20"/>
                <w:szCs w:val="20"/>
              </w:rPr>
              <w:t>.</w:t>
            </w:r>
            <w:r w:rsidRPr="000A0D5E">
              <w:rPr>
                <w:rFonts w:ascii="Arial" w:hAnsi="Arial" w:cs="Arial"/>
                <w:color w:val="000000" w:themeColor="text1"/>
                <w:sz w:val="20"/>
                <w:szCs w:val="20"/>
              </w:rPr>
              <w:t xml:space="preserve"> </w:t>
            </w:r>
          </w:p>
        </w:tc>
      </w:tr>
    </w:tbl>
    <w:p w14:paraId="0C3AFC54" w14:textId="77777777" w:rsidR="000222B4" w:rsidRDefault="000222B4" w:rsidP="000222B4"/>
    <w:p w14:paraId="6CD46DD1" w14:textId="62629766" w:rsidR="007D689E" w:rsidRDefault="007D689E" w:rsidP="007416B1">
      <w:pPr>
        <w:pStyle w:val="Heading2"/>
        <w:numPr>
          <w:ilvl w:val="1"/>
          <w:numId w:val="7"/>
        </w:numPr>
      </w:pPr>
      <w:r>
        <w:t xml:space="preserve">Target and emulated trial 3: Eligibility criteria, treatment strategies and outcomes </w:t>
      </w:r>
    </w:p>
    <w:p w14:paraId="3B81172B" w14:textId="302628E3" w:rsidR="007416B1" w:rsidRPr="007416B1" w:rsidRDefault="007416B1" w:rsidP="007416B1">
      <w:pPr>
        <w:rPr>
          <w:rFonts w:ascii="Arial" w:hAnsi="Arial" w:cs="Arial"/>
          <w:sz w:val="20"/>
          <w:szCs w:val="20"/>
        </w:rPr>
      </w:pPr>
      <w:r w:rsidRPr="007416B1">
        <w:rPr>
          <w:rFonts w:ascii="Arial" w:hAnsi="Arial" w:cs="Arial"/>
          <w:sz w:val="20"/>
          <w:szCs w:val="20"/>
        </w:rPr>
        <w:t xml:space="preserve">In this section, we provide details on how target trial </w:t>
      </w:r>
      <w:r>
        <w:rPr>
          <w:rFonts w:ascii="Arial" w:hAnsi="Arial" w:cs="Arial"/>
          <w:sz w:val="20"/>
          <w:szCs w:val="20"/>
        </w:rPr>
        <w:t>3</w:t>
      </w:r>
      <w:r w:rsidRPr="007416B1">
        <w:rPr>
          <w:rFonts w:ascii="Arial" w:hAnsi="Arial" w:cs="Arial"/>
          <w:sz w:val="20"/>
          <w:szCs w:val="20"/>
        </w:rPr>
        <w:t xml:space="preserve"> will be emulated using the UK CF Registry data. Section 4.</w:t>
      </w:r>
      <w:r>
        <w:rPr>
          <w:rFonts w:ascii="Arial" w:hAnsi="Arial" w:cs="Arial"/>
          <w:sz w:val="20"/>
          <w:szCs w:val="20"/>
        </w:rPr>
        <w:t>4</w:t>
      </w:r>
      <w:r w:rsidRPr="007416B1">
        <w:rPr>
          <w:rFonts w:ascii="Arial" w:hAnsi="Arial" w:cs="Arial"/>
          <w:sz w:val="20"/>
          <w:szCs w:val="20"/>
        </w:rPr>
        <w:t>.1 provides details on the eligibility criteria; section 4.</w:t>
      </w:r>
      <w:r>
        <w:rPr>
          <w:rFonts w:ascii="Arial" w:hAnsi="Arial" w:cs="Arial"/>
          <w:sz w:val="20"/>
          <w:szCs w:val="20"/>
        </w:rPr>
        <w:t>4</w:t>
      </w:r>
      <w:r w:rsidRPr="007416B1">
        <w:rPr>
          <w:rFonts w:ascii="Arial" w:hAnsi="Arial" w:cs="Arial"/>
          <w:sz w:val="20"/>
          <w:szCs w:val="20"/>
        </w:rPr>
        <w:t>.2 describes the treatment strategies and section 4.</w:t>
      </w:r>
      <w:r>
        <w:rPr>
          <w:rFonts w:ascii="Arial" w:hAnsi="Arial" w:cs="Arial"/>
          <w:sz w:val="20"/>
          <w:szCs w:val="20"/>
        </w:rPr>
        <w:t>4</w:t>
      </w:r>
      <w:r w:rsidRPr="007416B1">
        <w:rPr>
          <w:rFonts w:ascii="Arial" w:hAnsi="Arial" w:cs="Arial"/>
          <w:sz w:val="20"/>
          <w:szCs w:val="20"/>
        </w:rPr>
        <w:t xml:space="preserve">.3 lists the primary and secondary outcomes. </w:t>
      </w:r>
    </w:p>
    <w:p w14:paraId="4812958C" w14:textId="3419B64B" w:rsidR="00A2486B" w:rsidRDefault="00121AF5" w:rsidP="00121AF5">
      <w:pPr>
        <w:pStyle w:val="Heading3"/>
      </w:pPr>
      <w:r>
        <w:lastRenderedPageBreak/>
        <w:t xml:space="preserve">4.4.1 </w:t>
      </w:r>
      <w:r w:rsidR="00A2486B">
        <w:t xml:space="preserve">Eligibility criteria </w:t>
      </w:r>
    </w:p>
    <w:p w14:paraId="0C000870" w14:textId="1BD65B17" w:rsidR="00A2486B" w:rsidRPr="00A331F6" w:rsidRDefault="00A2486B" w:rsidP="00A2486B">
      <w:pPr>
        <w:rPr>
          <w:rFonts w:ascii="Arial" w:hAnsi="Arial" w:cs="Arial"/>
          <w:sz w:val="20"/>
          <w:szCs w:val="20"/>
        </w:rPr>
      </w:pPr>
      <w:r w:rsidRPr="00A331F6">
        <w:rPr>
          <w:rFonts w:ascii="Arial" w:hAnsi="Arial" w:cs="Arial"/>
          <w:sz w:val="20"/>
          <w:szCs w:val="20"/>
        </w:rPr>
        <w:t xml:space="preserve">Table </w:t>
      </w:r>
      <w:r w:rsidR="00735A03">
        <w:rPr>
          <w:rFonts w:ascii="Arial" w:hAnsi="Arial" w:cs="Arial"/>
          <w:sz w:val="20"/>
          <w:szCs w:val="20"/>
        </w:rPr>
        <w:t>7</w:t>
      </w:r>
      <w:r w:rsidRPr="00A331F6">
        <w:rPr>
          <w:rFonts w:ascii="Arial" w:hAnsi="Arial" w:cs="Arial"/>
          <w:sz w:val="20"/>
          <w:szCs w:val="20"/>
        </w:rPr>
        <w:t xml:space="preserve"> details the inclusion and exclusion criteria used in target trial </w:t>
      </w:r>
      <w:r w:rsidR="00A331F6" w:rsidRPr="00A331F6">
        <w:rPr>
          <w:rFonts w:ascii="Arial" w:hAnsi="Arial" w:cs="Arial"/>
          <w:sz w:val="20"/>
          <w:szCs w:val="20"/>
        </w:rPr>
        <w:t>3</w:t>
      </w:r>
      <w:r w:rsidRPr="00A331F6">
        <w:rPr>
          <w:rFonts w:ascii="Arial" w:hAnsi="Arial" w:cs="Arial"/>
          <w:sz w:val="20"/>
          <w:szCs w:val="20"/>
        </w:rPr>
        <w:t xml:space="preserve"> and how we plan to emulate these criteria using the UK CF Registry data.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2486B" w14:paraId="3DF47E61" w14:textId="77777777" w:rsidTr="00C40B76">
        <w:tc>
          <w:tcPr>
            <w:tcW w:w="9016" w:type="dxa"/>
            <w:gridSpan w:val="2"/>
            <w:tcBorders>
              <w:top w:val="nil"/>
              <w:bottom w:val="single" w:sz="4" w:space="0" w:color="auto"/>
            </w:tcBorders>
          </w:tcPr>
          <w:p w14:paraId="78505C5E" w14:textId="659A0CEC" w:rsidR="00A2486B" w:rsidRPr="00631872" w:rsidRDefault="00A2486B" w:rsidP="00C40B76">
            <w:pPr>
              <w:rPr>
                <w:i/>
                <w:iCs/>
              </w:rPr>
            </w:pPr>
            <w:r w:rsidRPr="00631872">
              <w:rPr>
                <w:i/>
                <w:iCs/>
              </w:rPr>
              <w:t xml:space="preserve">Table </w:t>
            </w:r>
            <w:r w:rsidR="00735A03">
              <w:rPr>
                <w:i/>
                <w:iCs/>
              </w:rPr>
              <w:t>7</w:t>
            </w:r>
            <w:r w:rsidRPr="00631872">
              <w:rPr>
                <w:i/>
                <w:iCs/>
              </w:rPr>
              <w:t xml:space="preserve">: Eligibility criteria for target trial </w:t>
            </w:r>
            <w:r w:rsidR="00A331F6">
              <w:rPr>
                <w:i/>
                <w:iCs/>
              </w:rPr>
              <w:t>3</w:t>
            </w:r>
            <w:r w:rsidRPr="00631872">
              <w:rPr>
                <w:i/>
                <w:iCs/>
              </w:rPr>
              <w:t xml:space="preserve"> and the associated emulated trial </w:t>
            </w:r>
          </w:p>
        </w:tc>
      </w:tr>
      <w:tr w:rsidR="00726233" w14:paraId="637F30F0" w14:textId="77777777" w:rsidTr="00C40B76">
        <w:tc>
          <w:tcPr>
            <w:tcW w:w="4508" w:type="dxa"/>
            <w:tcBorders>
              <w:top w:val="single" w:sz="4" w:space="0" w:color="auto"/>
            </w:tcBorders>
          </w:tcPr>
          <w:p w14:paraId="5413DD2C" w14:textId="2CEB13C0" w:rsidR="00726233" w:rsidRPr="00726233" w:rsidRDefault="00726233" w:rsidP="009F580C">
            <w:pPr>
              <w:rPr>
                <w:rFonts w:ascii="Arial" w:hAnsi="Arial" w:cs="Arial"/>
                <w:b/>
                <w:bCs/>
                <w:sz w:val="20"/>
                <w:szCs w:val="20"/>
              </w:rPr>
            </w:pPr>
            <w:r w:rsidRPr="00726233">
              <w:rPr>
                <w:rFonts w:ascii="Arial" w:hAnsi="Arial" w:cs="Arial"/>
                <w:b/>
                <w:bCs/>
                <w:sz w:val="20"/>
                <w:szCs w:val="20"/>
              </w:rPr>
              <w:t>Target trial</w:t>
            </w:r>
          </w:p>
        </w:tc>
        <w:tc>
          <w:tcPr>
            <w:tcW w:w="4508" w:type="dxa"/>
            <w:tcBorders>
              <w:top w:val="single" w:sz="4" w:space="0" w:color="auto"/>
            </w:tcBorders>
          </w:tcPr>
          <w:p w14:paraId="1918B25C" w14:textId="2A91F3FD" w:rsidR="00726233" w:rsidRPr="00726233" w:rsidRDefault="00726233" w:rsidP="009F580C">
            <w:pPr>
              <w:rPr>
                <w:rFonts w:ascii="Arial" w:hAnsi="Arial" w:cs="Arial"/>
                <w:b/>
                <w:bCs/>
                <w:sz w:val="20"/>
                <w:szCs w:val="20"/>
              </w:rPr>
            </w:pPr>
            <w:r w:rsidRPr="00726233">
              <w:rPr>
                <w:rFonts w:ascii="Arial" w:hAnsi="Arial" w:cs="Arial"/>
                <w:b/>
                <w:bCs/>
                <w:sz w:val="20"/>
                <w:szCs w:val="20"/>
              </w:rPr>
              <w:t>Emulated trial</w:t>
            </w:r>
          </w:p>
        </w:tc>
      </w:tr>
      <w:tr w:rsidR="009F580C" w14:paraId="0FE9C200" w14:textId="77777777" w:rsidTr="00C40B76">
        <w:tc>
          <w:tcPr>
            <w:tcW w:w="4508" w:type="dxa"/>
            <w:tcBorders>
              <w:top w:val="single" w:sz="4" w:space="0" w:color="auto"/>
            </w:tcBorders>
          </w:tcPr>
          <w:p w14:paraId="4249A2A3" w14:textId="77777777" w:rsidR="009F580C" w:rsidRPr="00EE69B1" w:rsidRDefault="009F580C" w:rsidP="009F580C">
            <w:pPr>
              <w:rPr>
                <w:rFonts w:ascii="Arial" w:hAnsi="Arial" w:cs="Arial"/>
                <w:sz w:val="20"/>
                <w:szCs w:val="20"/>
              </w:rPr>
            </w:pPr>
            <w:r w:rsidRPr="00EE69B1">
              <w:rPr>
                <w:rFonts w:ascii="Arial" w:hAnsi="Arial" w:cs="Arial"/>
                <w:sz w:val="20"/>
                <w:szCs w:val="20"/>
              </w:rPr>
              <w:t>Inclusion criteria:</w:t>
            </w:r>
          </w:p>
          <w:p w14:paraId="4499BE43" w14:textId="6FD87CEC" w:rsidR="009F580C" w:rsidRPr="00EE69B1" w:rsidRDefault="009F580C" w:rsidP="001A3E2E">
            <w:pPr>
              <w:pStyle w:val="ListParagraph"/>
              <w:numPr>
                <w:ilvl w:val="0"/>
                <w:numId w:val="14"/>
              </w:numPr>
              <w:rPr>
                <w:rFonts w:ascii="Arial" w:hAnsi="Arial" w:cs="Arial"/>
                <w:sz w:val="20"/>
                <w:szCs w:val="20"/>
              </w:rPr>
            </w:pPr>
            <w:r w:rsidRPr="00EE69B1">
              <w:rPr>
                <w:rFonts w:ascii="Arial" w:hAnsi="Arial" w:cs="Arial"/>
                <w:sz w:val="20"/>
                <w:szCs w:val="20"/>
              </w:rPr>
              <w:t>Male or female, aged 6-18 years</w:t>
            </w:r>
            <w:r w:rsidR="00D16EC6">
              <w:rPr>
                <w:rFonts w:ascii="Arial" w:hAnsi="Arial" w:cs="Arial"/>
                <w:sz w:val="20"/>
                <w:szCs w:val="20"/>
              </w:rPr>
              <w:t>.</w:t>
            </w:r>
          </w:p>
          <w:p w14:paraId="5924DDE4" w14:textId="5F3D6B95" w:rsidR="009F580C" w:rsidRPr="00EE69B1" w:rsidRDefault="009F580C" w:rsidP="001A3E2E">
            <w:pPr>
              <w:pStyle w:val="ListParagraph"/>
              <w:numPr>
                <w:ilvl w:val="0"/>
                <w:numId w:val="14"/>
              </w:numPr>
              <w:rPr>
                <w:rFonts w:ascii="Arial" w:hAnsi="Arial" w:cs="Arial"/>
                <w:sz w:val="20"/>
                <w:szCs w:val="20"/>
              </w:rPr>
            </w:pPr>
            <w:r w:rsidRPr="00EE69B1">
              <w:rPr>
                <w:rFonts w:ascii="Arial" w:hAnsi="Arial" w:cs="Arial"/>
                <w:sz w:val="20"/>
                <w:szCs w:val="20"/>
              </w:rPr>
              <w:t>Confirmed diagnosis of CF</w:t>
            </w:r>
            <w:r w:rsidR="00D16EC6">
              <w:rPr>
                <w:rFonts w:ascii="Arial" w:hAnsi="Arial" w:cs="Arial"/>
                <w:sz w:val="20"/>
                <w:szCs w:val="20"/>
              </w:rPr>
              <w:t>.</w:t>
            </w:r>
          </w:p>
          <w:p w14:paraId="76614D97" w14:textId="52552B17" w:rsidR="009F580C" w:rsidRPr="00EE69B1" w:rsidRDefault="009F580C" w:rsidP="001A3E2E">
            <w:pPr>
              <w:pStyle w:val="ListParagraph"/>
              <w:numPr>
                <w:ilvl w:val="0"/>
                <w:numId w:val="14"/>
              </w:numPr>
              <w:rPr>
                <w:rFonts w:ascii="Arial" w:hAnsi="Arial" w:cs="Arial"/>
                <w:sz w:val="20"/>
                <w:szCs w:val="20"/>
              </w:rPr>
            </w:pPr>
            <w:r w:rsidRPr="00EE69B1">
              <w:rPr>
                <w:rFonts w:ascii="Arial" w:hAnsi="Arial" w:cs="Arial"/>
                <w:sz w:val="20"/>
                <w:szCs w:val="20"/>
              </w:rPr>
              <w:t>Written informed consent</w:t>
            </w:r>
            <w:r w:rsidR="00D16EC6">
              <w:rPr>
                <w:rFonts w:ascii="Arial" w:hAnsi="Arial" w:cs="Arial"/>
                <w:sz w:val="20"/>
                <w:szCs w:val="20"/>
              </w:rPr>
              <w:t>.</w:t>
            </w:r>
          </w:p>
          <w:p w14:paraId="0DEA8AED" w14:textId="2862E3C7" w:rsidR="009F580C" w:rsidRPr="00EE69B1" w:rsidRDefault="009F580C" w:rsidP="001A3E2E">
            <w:pPr>
              <w:pStyle w:val="ListParagraph"/>
              <w:numPr>
                <w:ilvl w:val="0"/>
                <w:numId w:val="14"/>
              </w:numPr>
              <w:rPr>
                <w:rFonts w:ascii="Arial" w:hAnsi="Arial" w:cs="Arial"/>
                <w:sz w:val="20"/>
                <w:szCs w:val="20"/>
              </w:rPr>
            </w:pPr>
            <w:r w:rsidRPr="00EE69B1">
              <w:rPr>
                <w:rFonts w:ascii="Arial" w:hAnsi="Arial" w:cs="Arial"/>
                <w:sz w:val="20"/>
                <w:szCs w:val="20"/>
              </w:rPr>
              <w:t>Clinically stable at enrolment as assessed by the site investigator</w:t>
            </w:r>
            <w:r w:rsidR="00D16EC6">
              <w:rPr>
                <w:rFonts w:ascii="Arial" w:hAnsi="Arial" w:cs="Arial"/>
                <w:sz w:val="20"/>
                <w:szCs w:val="20"/>
              </w:rPr>
              <w:t>.</w:t>
            </w:r>
            <w:r w:rsidRPr="00EE69B1">
              <w:rPr>
                <w:rFonts w:ascii="Arial" w:hAnsi="Arial" w:cs="Arial"/>
                <w:sz w:val="20"/>
                <w:szCs w:val="20"/>
              </w:rPr>
              <w:t xml:space="preserve"> </w:t>
            </w:r>
          </w:p>
          <w:p w14:paraId="79E05D51" w14:textId="50A55E56" w:rsidR="009F580C" w:rsidRPr="00EE69B1" w:rsidRDefault="009F580C" w:rsidP="001A3E2E">
            <w:pPr>
              <w:pStyle w:val="ListParagraph"/>
              <w:numPr>
                <w:ilvl w:val="0"/>
                <w:numId w:val="14"/>
              </w:numPr>
              <w:rPr>
                <w:rFonts w:ascii="Arial" w:hAnsi="Arial" w:cs="Arial"/>
                <w:sz w:val="20"/>
                <w:szCs w:val="20"/>
              </w:rPr>
            </w:pPr>
            <w:r w:rsidRPr="00EE69B1">
              <w:rPr>
                <w:rFonts w:ascii="Arial" w:hAnsi="Arial" w:cs="Arial"/>
                <w:sz w:val="20"/>
                <w:szCs w:val="20"/>
              </w:rPr>
              <w:t>FEV</w:t>
            </w:r>
            <w:r w:rsidRPr="00D16EC6">
              <w:rPr>
                <w:rFonts w:ascii="Arial" w:hAnsi="Arial" w:cs="Arial"/>
                <w:sz w:val="20"/>
                <w:szCs w:val="20"/>
                <w:vertAlign w:val="subscript"/>
              </w:rPr>
              <w:t>1</w:t>
            </w:r>
            <w:r w:rsidR="00D16EC6">
              <w:rPr>
                <w:rFonts w:ascii="Arial" w:hAnsi="Arial" w:cs="Arial"/>
                <w:sz w:val="20"/>
                <w:szCs w:val="20"/>
              </w:rPr>
              <w:t>%</w:t>
            </w:r>
            <w:r w:rsidRPr="00EE69B1">
              <w:rPr>
                <w:rFonts w:ascii="Arial" w:hAnsi="Arial" w:cs="Arial"/>
                <w:sz w:val="20"/>
                <w:szCs w:val="20"/>
              </w:rPr>
              <w:t>&gt;50</w:t>
            </w:r>
            <w:r w:rsidR="00D16EC6">
              <w:rPr>
                <w:rFonts w:ascii="Arial" w:hAnsi="Arial" w:cs="Arial"/>
                <w:sz w:val="20"/>
                <w:szCs w:val="20"/>
              </w:rPr>
              <w:t>.</w:t>
            </w:r>
          </w:p>
          <w:p w14:paraId="2F68E79C" w14:textId="77777777" w:rsidR="009F580C" w:rsidRPr="00EE69B1" w:rsidRDefault="009F580C" w:rsidP="001A3E2E">
            <w:pPr>
              <w:pStyle w:val="ListParagraph"/>
              <w:numPr>
                <w:ilvl w:val="0"/>
                <w:numId w:val="14"/>
              </w:numPr>
              <w:rPr>
                <w:rFonts w:ascii="Arial" w:hAnsi="Arial" w:cs="Arial"/>
                <w:sz w:val="20"/>
                <w:szCs w:val="20"/>
              </w:rPr>
            </w:pPr>
            <w:r w:rsidRPr="00EE69B1">
              <w:rPr>
                <w:rFonts w:ascii="Arial" w:hAnsi="Arial" w:cs="Arial"/>
                <w:sz w:val="20"/>
                <w:szCs w:val="20"/>
              </w:rPr>
              <w:t>Ability to comply with medication use, study visits, and study procedures.</w:t>
            </w:r>
          </w:p>
          <w:p w14:paraId="668A16D3" w14:textId="77777777" w:rsidR="009F580C" w:rsidRPr="00EE69B1" w:rsidRDefault="009F580C" w:rsidP="001A3E2E">
            <w:pPr>
              <w:pStyle w:val="ListParagraph"/>
              <w:numPr>
                <w:ilvl w:val="0"/>
                <w:numId w:val="14"/>
              </w:numPr>
              <w:rPr>
                <w:rFonts w:ascii="Arial" w:hAnsi="Arial" w:cs="Arial"/>
                <w:sz w:val="20"/>
                <w:szCs w:val="20"/>
              </w:rPr>
            </w:pPr>
            <w:r w:rsidRPr="00EE69B1">
              <w:rPr>
                <w:rFonts w:ascii="Arial" w:hAnsi="Arial" w:cs="Arial"/>
                <w:sz w:val="20"/>
                <w:szCs w:val="20"/>
              </w:rPr>
              <w:t>Ability to swallow a 250mg tablet.</w:t>
            </w:r>
          </w:p>
          <w:p w14:paraId="5A9A7D9C" w14:textId="77777777" w:rsidR="009F580C" w:rsidRPr="00EE69B1" w:rsidRDefault="009F580C" w:rsidP="009F580C">
            <w:pPr>
              <w:rPr>
                <w:rFonts w:ascii="Arial" w:hAnsi="Arial" w:cs="Arial"/>
                <w:sz w:val="20"/>
                <w:szCs w:val="20"/>
              </w:rPr>
            </w:pPr>
          </w:p>
          <w:p w14:paraId="7314E6A5" w14:textId="77777777" w:rsidR="00A5650F" w:rsidRDefault="00A5650F" w:rsidP="009F580C">
            <w:pPr>
              <w:rPr>
                <w:rFonts w:ascii="Arial" w:hAnsi="Arial" w:cs="Arial"/>
                <w:sz w:val="20"/>
                <w:szCs w:val="20"/>
              </w:rPr>
            </w:pPr>
          </w:p>
          <w:p w14:paraId="727D1D80" w14:textId="77777777" w:rsidR="00A5650F" w:rsidRDefault="00A5650F" w:rsidP="009F580C">
            <w:pPr>
              <w:rPr>
                <w:rFonts w:ascii="Arial" w:hAnsi="Arial" w:cs="Arial"/>
                <w:sz w:val="20"/>
                <w:szCs w:val="20"/>
              </w:rPr>
            </w:pPr>
          </w:p>
          <w:p w14:paraId="73D1A528" w14:textId="44E19F5A" w:rsidR="009F580C" w:rsidRPr="00EE69B1" w:rsidRDefault="009F580C" w:rsidP="009F580C">
            <w:pPr>
              <w:rPr>
                <w:rFonts w:ascii="Arial" w:hAnsi="Arial" w:cs="Arial"/>
                <w:sz w:val="20"/>
                <w:szCs w:val="20"/>
              </w:rPr>
            </w:pPr>
            <w:r w:rsidRPr="00EE69B1">
              <w:rPr>
                <w:rFonts w:ascii="Arial" w:hAnsi="Arial" w:cs="Arial"/>
                <w:sz w:val="20"/>
                <w:szCs w:val="20"/>
              </w:rPr>
              <w:t>Exclusion criteria:</w:t>
            </w:r>
          </w:p>
          <w:p w14:paraId="4CB9E76B" w14:textId="05AA957E" w:rsidR="009F580C" w:rsidRPr="00EE69B1" w:rsidRDefault="009F580C" w:rsidP="001A3E2E">
            <w:pPr>
              <w:pStyle w:val="ListParagraph"/>
              <w:numPr>
                <w:ilvl w:val="0"/>
                <w:numId w:val="15"/>
              </w:numPr>
              <w:rPr>
                <w:rFonts w:ascii="Arial" w:hAnsi="Arial" w:cs="Arial"/>
                <w:sz w:val="20"/>
                <w:szCs w:val="20"/>
              </w:rPr>
            </w:pPr>
            <w:r w:rsidRPr="00EE69B1">
              <w:rPr>
                <w:rFonts w:ascii="Arial" w:hAnsi="Arial" w:cs="Arial"/>
                <w:sz w:val="20"/>
                <w:szCs w:val="20"/>
              </w:rPr>
              <w:t>Weigh less than 18.0kg</w:t>
            </w:r>
            <w:r w:rsidR="00B53A41">
              <w:rPr>
                <w:rFonts w:ascii="Arial" w:hAnsi="Arial" w:cs="Arial"/>
                <w:sz w:val="20"/>
                <w:szCs w:val="20"/>
              </w:rPr>
              <w:t>.</w:t>
            </w:r>
          </w:p>
          <w:p w14:paraId="12EFBF54" w14:textId="09984349" w:rsidR="009F580C" w:rsidRPr="00EE69B1" w:rsidRDefault="009F580C" w:rsidP="001A3E2E">
            <w:pPr>
              <w:pStyle w:val="ListParagraph"/>
              <w:numPr>
                <w:ilvl w:val="0"/>
                <w:numId w:val="15"/>
              </w:numPr>
              <w:rPr>
                <w:rFonts w:ascii="Arial" w:hAnsi="Arial" w:cs="Arial"/>
                <w:sz w:val="20"/>
                <w:szCs w:val="20"/>
              </w:rPr>
            </w:pPr>
            <w:r w:rsidRPr="00EE69B1">
              <w:rPr>
                <w:rFonts w:ascii="Arial" w:hAnsi="Arial" w:cs="Arial"/>
                <w:sz w:val="20"/>
                <w:szCs w:val="20"/>
              </w:rPr>
              <w:t>Respiratory culture positive for</w:t>
            </w:r>
            <w:r w:rsidR="00C13461">
              <w:rPr>
                <w:rFonts w:ascii="Arial" w:hAnsi="Arial" w:cs="Arial"/>
                <w:sz w:val="20"/>
                <w:szCs w:val="20"/>
              </w:rPr>
              <w:t xml:space="preserve"> </w:t>
            </w:r>
            <w:r w:rsidR="00C13461" w:rsidRPr="00954954">
              <w:rPr>
                <w:rFonts w:ascii="Arial" w:hAnsi="Arial" w:cs="Arial"/>
                <w:i/>
                <w:iCs/>
                <w:sz w:val="20"/>
                <w:szCs w:val="20"/>
              </w:rPr>
              <w:t>Pseudomonas aeruginosa</w:t>
            </w:r>
            <w:r w:rsidRPr="00EE69B1">
              <w:rPr>
                <w:rFonts w:ascii="Arial" w:hAnsi="Arial" w:cs="Arial"/>
                <w:sz w:val="20"/>
                <w:szCs w:val="20"/>
              </w:rPr>
              <w:t xml:space="preserve">, NTM, or </w:t>
            </w:r>
            <w:r w:rsidRPr="00BD26CD">
              <w:rPr>
                <w:rFonts w:ascii="Arial" w:hAnsi="Arial" w:cs="Arial"/>
                <w:i/>
                <w:iCs/>
                <w:sz w:val="20"/>
                <w:szCs w:val="20"/>
              </w:rPr>
              <w:t>B</w:t>
            </w:r>
            <w:r w:rsidR="00C13461">
              <w:rPr>
                <w:rFonts w:ascii="Arial" w:hAnsi="Arial" w:cs="Arial"/>
                <w:i/>
                <w:iCs/>
                <w:sz w:val="20"/>
                <w:szCs w:val="20"/>
              </w:rPr>
              <w:t>urkholderia</w:t>
            </w:r>
            <w:r w:rsidRPr="00BD26CD">
              <w:rPr>
                <w:rFonts w:ascii="Arial" w:hAnsi="Arial" w:cs="Arial"/>
                <w:i/>
                <w:iCs/>
                <w:sz w:val="20"/>
                <w:szCs w:val="20"/>
              </w:rPr>
              <w:t xml:space="preserve"> cepacia</w:t>
            </w:r>
            <w:r w:rsidRPr="00EE69B1">
              <w:rPr>
                <w:rFonts w:ascii="Arial" w:hAnsi="Arial" w:cs="Arial"/>
                <w:sz w:val="20"/>
                <w:szCs w:val="20"/>
              </w:rPr>
              <w:t xml:space="preserve"> complex within 1 year or at screening, or AFB positive at screening.</w:t>
            </w:r>
          </w:p>
          <w:p w14:paraId="128BA99F" w14:textId="7C35C681" w:rsidR="009F580C" w:rsidRPr="00EE69B1" w:rsidRDefault="009F580C" w:rsidP="001A3E2E">
            <w:pPr>
              <w:pStyle w:val="ListParagraph"/>
              <w:numPr>
                <w:ilvl w:val="0"/>
                <w:numId w:val="15"/>
              </w:numPr>
              <w:rPr>
                <w:rFonts w:ascii="Arial" w:hAnsi="Arial" w:cs="Arial"/>
                <w:sz w:val="20"/>
                <w:szCs w:val="20"/>
              </w:rPr>
            </w:pPr>
            <w:r w:rsidRPr="00EE69B1">
              <w:rPr>
                <w:rFonts w:ascii="Arial" w:hAnsi="Arial" w:cs="Arial"/>
                <w:sz w:val="20"/>
                <w:szCs w:val="20"/>
              </w:rPr>
              <w:t>Allergy to macrolide antibiotics</w:t>
            </w:r>
            <w:r w:rsidR="00B53A41">
              <w:rPr>
                <w:rFonts w:ascii="Arial" w:hAnsi="Arial" w:cs="Arial"/>
                <w:sz w:val="20"/>
                <w:szCs w:val="20"/>
              </w:rPr>
              <w:t>.</w:t>
            </w:r>
            <w:r w:rsidRPr="00EE69B1">
              <w:rPr>
                <w:rFonts w:ascii="Arial" w:hAnsi="Arial" w:cs="Arial"/>
                <w:sz w:val="20"/>
                <w:szCs w:val="20"/>
              </w:rPr>
              <w:t xml:space="preserve"> </w:t>
            </w:r>
          </w:p>
          <w:p w14:paraId="12F703C5" w14:textId="360D4ADC" w:rsidR="009F580C" w:rsidRPr="00EE69B1" w:rsidRDefault="009F580C" w:rsidP="001A3E2E">
            <w:pPr>
              <w:pStyle w:val="ListParagraph"/>
              <w:numPr>
                <w:ilvl w:val="0"/>
                <w:numId w:val="15"/>
              </w:numPr>
              <w:rPr>
                <w:rFonts w:ascii="Arial" w:hAnsi="Arial" w:cs="Arial"/>
                <w:sz w:val="20"/>
                <w:szCs w:val="20"/>
              </w:rPr>
            </w:pPr>
            <w:r w:rsidRPr="00EE69B1">
              <w:rPr>
                <w:rFonts w:ascii="Arial" w:hAnsi="Arial" w:cs="Arial"/>
                <w:sz w:val="20"/>
                <w:szCs w:val="20"/>
              </w:rPr>
              <w:t>Use of macrolide antibiotics within 60 days of screening</w:t>
            </w:r>
            <w:r w:rsidR="00B53A41">
              <w:rPr>
                <w:rFonts w:ascii="Arial" w:hAnsi="Arial" w:cs="Arial"/>
                <w:sz w:val="20"/>
                <w:szCs w:val="20"/>
              </w:rPr>
              <w:t>.</w:t>
            </w:r>
          </w:p>
          <w:p w14:paraId="2958493A" w14:textId="3C0EA6B9" w:rsidR="009F580C" w:rsidRPr="00EE69B1" w:rsidRDefault="009F580C" w:rsidP="001A3E2E">
            <w:pPr>
              <w:pStyle w:val="ListParagraph"/>
              <w:numPr>
                <w:ilvl w:val="0"/>
                <w:numId w:val="15"/>
              </w:numPr>
              <w:rPr>
                <w:rFonts w:ascii="Arial" w:hAnsi="Arial" w:cs="Arial"/>
                <w:sz w:val="20"/>
                <w:szCs w:val="20"/>
              </w:rPr>
            </w:pPr>
            <w:r w:rsidRPr="00EE69B1">
              <w:rPr>
                <w:rFonts w:ascii="Arial" w:hAnsi="Arial" w:cs="Arial"/>
                <w:sz w:val="20"/>
                <w:szCs w:val="20"/>
              </w:rPr>
              <w:t>Use of systemic corticosteroids or intravenous or oral antibiotics within 14</w:t>
            </w:r>
            <w:r w:rsidR="00B53A41">
              <w:rPr>
                <w:rFonts w:ascii="Arial" w:hAnsi="Arial" w:cs="Arial"/>
                <w:sz w:val="20"/>
                <w:szCs w:val="20"/>
              </w:rPr>
              <w:t xml:space="preserve"> </w:t>
            </w:r>
            <w:r w:rsidRPr="00EE69B1">
              <w:rPr>
                <w:rFonts w:ascii="Arial" w:hAnsi="Arial" w:cs="Arial"/>
                <w:sz w:val="20"/>
                <w:szCs w:val="20"/>
              </w:rPr>
              <w:t>days of screening</w:t>
            </w:r>
            <w:r w:rsidR="00B53A41">
              <w:rPr>
                <w:rFonts w:ascii="Arial" w:hAnsi="Arial" w:cs="Arial"/>
                <w:sz w:val="20"/>
                <w:szCs w:val="20"/>
              </w:rPr>
              <w:t>.</w:t>
            </w:r>
          </w:p>
          <w:p w14:paraId="3AFDF370" w14:textId="1D3EBBF1" w:rsidR="009F580C" w:rsidRPr="00EE69B1" w:rsidRDefault="009F580C" w:rsidP="001A3E2E">
            <w:pPr>
              <w:pStyle w:val="ListParagraph"/>
              <w:numPr>
                <w:ilvl w:val="0"/>
                <w:numId w:val="15"/>
              </w:numPr>
              <w:rPr>
                <w:rFonts w:ascii="Arial" w:hAnsi="Arial" w:cs="Arial"/>
                <w:sz w:val="20"/>
                <w:szCs w:val="20"/>
              </w:rPr>
            </w:pPr>
            <w:r w:rsidRPr="00EE69B1">
              <w:rPr>
                <w:rFonts w:ascii="Arial" w:hAnsi="Arial" w:cs="Arial"/>
                <w:sz w:val="20"/>
                <w:szCs w:val="20"/>
              </w:rPr>
              <w:t xml:space="preserve">Initiation of high dose ibuprofen, </w:t>
            </w:r>
            <w:r w:rsidR="00BD26CD">
              <w:rPr>
                <w:rFonts w:ascii="Arial" w:hAnsi="Arial" w:cs="Arial"/>
                <w:sz w:val="20"/>
                <w:szCs w:val="20"/>
              </w:rPr>
              <w:t xml:space="preserve">dornase alfa, </w:t>
            </w:r>
            <w:r w:rsidRPr="00EE69B1">
              <w:rPr>
                <w:rFonts w:ascii="Arial" w:hAnsi="Arial" w:cs="Arial"/>
                <w:sz w:val="20"/>
                <w:szCs w:val="20"/>
              </w:rPr>
              <w:t>hypertonic saline or aerosolized antibiotics within 30 days of screening</w:t>
            </w:r>
            <w:r w:rsidR="00B53A41">
              <w:rPr>
                <w:rFonts w:ascii="Arial" w:hAnsi="Arial" w:cs="Arial"/>
                <w:sz w:val="20"/>
                <w:szCs w:val="20"/>
              </w:rPr>
              <w:t>.</w:t>
            </w:r>
          </w:p>
          <w:p w14:paraId="3B70E076" w14:textId="3684D7C6" w:rsidR="009F580C" w:rsidRPr="00EE69B1" w:rsidRDefault="009F580C" w:rsidP="001A3E2E">
            <w:pPr>
              <w:pStyle w:val="ListParagraph"/>
              <w:numPr>
                <w:ilvl w:val="0"/>
                <w:numId w:val="15"/>
              </w:numPr>
              <w:rPr>
                <w:rFonts w:ascii="Arial" w:hAnsi="Arial" w:cs="Arial"/>
                <w:sz w:val="20"/>
                <w:szCs w:val="20"/>
              </w:rPr>
            </w:pPr>
            <w:r w:rsidRPr="00EE69B1">
              <w:rPr>
                <w:rFonts w:ascii="Arial" w:hAnsi="Arial" w:cs="Arial"/>
                <w:sz w:val="20"/>
                <w:szCs w:val="20"/>
              </w:rPr>
              <w:t>Chronic therapy with drugs known to have rare but serious interactions with azithromycin: amiod</w:t>
            </w:r>
            <w:r w:rsidR="007303E5">
              <w:rPr>
                <w:rFonts w:ascii="Arial" w:hAnsi="Arial" w:cs="Arial"/>
                <w:sz w:val="20"/>
                <w:szCs w:val="20"/>
              </w:rPr>
              <w:t>a</w:t>
            </w:r>
            <w:r w:rsidRPr="00EE69B1">
              <w:rPr>
                <w:rFonts w:ascii="Arial" w:hAnsi="Arial" w:cs="Arial"/>
                <w:sz w:val="20"/>
                <w:szCs w:val="20"/>
              </w:rPr>
              <w:t>r</w:t>
            </w:r>
            <w:r w:rsidR="007303E5">
              <w:rPr>
                <w:rFonts w:ascii="Arial" w:hAnsi="Arial" w:cs="Arial"/>
                <w:sz w:val="20"/>
                <w:szCs w:val="20"/>
              </w:rPr>
              <w:t>o</w:t>
            </w:r>
            <w:r w:rsidRPr="00EE69B1">
              <w:rPr>
                <w:rFonts w:ascii="Arial" w:hAnsi="Arial" w:cs="Arial"/>
                <w:sz w:val="20"/>
                <w:szCs w:val="20"/>
              </w:rPr>
              <w:t>ne, digoxin, disopyramide, lovastatin, pimozide, rifabutin and nelfinavir.</w:t>
            </w:r>
          </w:p>
          <w:p w14:paraId="745FE15C" w14:textId="4E67B528" w:rsidR="009F580C" w:rsidRPr="00EE69B1" w:rsidRDefault="009F580C" w:rsidP="001A3E2E">
            <w:pPr>
              <w:pStyle w:val="ListParagraph"/>
              <w:numPr>
                <w:ilvl w:val="0"/>
                <w:numId w:val="15"/>
              </w:numPr>
              <w:rPr>
                <w:rFonts w:ascii="Arial" w:hAnsi="Arial" w:cs="Arial"/>
                <w:sz w:val="20"/>
                <w:szCs w:val="20"/>
              </w:rPr>
            </w:pPr>
            <w:r w:rsidRPr="00EE69B1">
              <w:rPr>
                <w:rFonts w:ascii="Arial" w:hAnsi="Arial" w:cs="Arial"/>
                <w:sz w:val="20"/>
                <w:szCs w:val="20"/>
              </w:rPr>
              <w:t>Investigational drug use within 30 days of screening</w:t>
            </w:r>
            <w:r w:rsidR="00B53A41">
              <w:rPr>
                <w:rFonts w:ascii="Arial" w:hAnsi="Arial" w:cs="Arial"/>
                <w:sz w:val="20"/>
                <w:szCs w:val="20"/>
              </w:rPr>
              <w:t>.</w:t>
            </w:r>
          </w:p>
          <w:p w14:paraId="1D55861A" w14:textId="7B9D8D61" w:rsidR="009F580C" w:rsidRPr="00EE69B1" w:rsidRDefault="009F580C" w:rsidP="001A3E2E">
            <w:pPr>
              <w:pStyle w:val="ListParagraph"/>
              <w:numPr>
                <w:ilvl w:val="0"/>
                <w:numId w:val="15"/>
              </w:numPr>
              <w:rPr>
                <w:rFonts w:ascii="Arial" w:hAnsi="Arial" w:cs="Arial"/>
                <w:sz w:val="20"/>
                <w:szCs w:val="20"/>
              </w:rPr>
            </w:pPr>
            <w:r w:rsidRPr="00EE69B1">
              <w:rPr>
                <w:rFonts w:ascii="Arial" w:hAnsi="Arial" w:cs="Arial"/>
                <w:sz w:val="20"/>
                <w:szCs w:val="20"/>
              </w:rPr>
              <w:t>Laboratory abnormalities (creatinine, liver function, or neutropenia) at screening and confirmed at follow-up testing prior to randomisation</w:t>
            </w:r>
            <w:r w:rsidR="00B53A41">
              <w:rPr>
                <w:rFonts w:ascii="Arial" w:hAnsi="Arial" w:cs="Arial"/>
                <w:sz w:val="20"/>
                <w:szCs w:val="20"/>
              </w:rPr>
              <w:t>.</w:t>
            </w:r>
          </w:p>
          <w:p w14:paraId="75065AB3" w14:textId="6645B7E0" w:rsidR="009F580C" w:rsidRPr="00EE69B1" w:rsidRDefault="009F580C" w:rsidP="001A3E2E">
            <w:pPr>
              <w:pStyle w:val="ListParagraph"/>
              <w:numPr>
                <w:ilvl w:val="0"/>
                <w:numId w:val="15"/>
              </w:numPr>
              <w:rPr>
                <w:rFonts w:ascii="Arial" w:hAnsi="Arial" w:cs="Arial"/>
                <w:sz w:val="20"/>
                <w:szCs w:val="20"/>
              </w:rPr>
            </w:pPr>
            <w:r w:rsidRPr="00EE69B1">
              <w:rPr>
                <w:rFonts w:ascii="Arial" w:hAnsi="Arial" w:cs="Arial"/>
                <w:sz w:val="20"/>
                <w:szCs w:val="20"/>
              </w:rPr>
              <w:t>History of biliary cirrhosis, portal hypertension, or splenomegaly, or splenomegaly on physical exam</w:t>
            </w:r>
            <w:r w:rsidR="00B53A41">
              <w:rPr>
                <w:rFonts w:ascii="Arial" w:hAnsi="Arial" w:cs="Arial"/>
                <w:sz w:val="20"/>
                <w:szCs w:val="20"/>
              </w:rPr>
              <w:t>.</w:t>
            </w:r>
          </w:p>
          <w:p w14:paraId="0FD27B44" w14:textId="1BABED1C" w:rsidR="009F580C" w:rsidRPr="00EE69B1" w:rsidRDefault="009F580C" w:rsidP="001A3E2E">
            <w:pPr>
              <w:pStyle w:val="ListParagraph"/>
              <w:numPr>
                <w:ilvl w:val="0"/>
                <w:numId w:val="15"/>
              </w:numPr>
              <w:rPr>
                <w:rFonts w:ascii="Arial" w:hAnsi="Arial" w:cs="Arial"/>
                <w:sz w:val="20"/>
                <w:szCs w:val="20"/>
              </w:rPr>
            </w:pPr>
            <w:r w:rsidRPr="00EE69B1">
              <w:rPr>
                <w:rFonts w:ascii="Arial" w:hAnsi="Arial" w:cs="Arial"/>
                <w:sz w:val="20"/>
                <w:szCs w:val="20"/>
              </w:rPr>
              <w:t>History of ventricular arrhythmia</w:t>
            </w:r>
            <w:r w:rsidR="00B53A41">
              <w:rPr>
                <w:rFonts w:ascii="Arial" w:hAnsi="Arial" w:cs="Arial"/>
                <w:sz w:val="20"/>
                <w:szCs w:val="20"/>
              </w:rPr>
              <w:t>.</w:t>
            </w:r>
            <w:r w:rsidRPr="00EE69B1">
              <w:rPr>
                <w:rFonts w:ascii="Arial" w:hAnsi="Arial" w:cs="Arial"/>
                <w:sz w:val="20"/>
                <w:szCs w:val="20"/>
              </w:rPr>
              <w:t xml:space="preserve"> </w:t>
            </w:r>
          </w:p>
          <w:p w14:paraId="18CFAB75" w14:textId="2DB411C1" w:rsidR="009F580C" w:rsidRPr="00EE69B1" w:rsidRDefault="009F580C" w:rsidP="001A3E2E">
            <w:pPr>
              <w:pStyle w:val="ListParagraph"/>
              <w:numPr>
                <w:ilvl w:val="0"/>
                <w:numId w:val="15"/>
              </w:numPr>
              <w:rPr>
                <w:rFonts w:ascii="Arial" w:hAnsi="Arial" w:cs="Arial"/>
                <w:sz w:val="20"/>
                <w:szCs w:val="20"/>
              </w:rPr>
            </w:pPr>
            <w:r w:rsidRPr="00EE69B1">
              <w:rPr>
                <w:rFonts w:ascii="Arial" w:hAnsi="Arial" w:cs="Arial"/>
                <w:sz w:val="20"/>
                <w:szCs w:val="20"/>
              </w:rPr>
              <w:t>Other major organ dysfunction, excluding pancreatic dysfunction</w:t>
            </w:r>
            <w:r w:rsidR="00B53A41">
              <w:rPr>
                <w:rFonts w:ascii="Arial" w:hAnsi="Arial" w:cs="Arial"/>
                <w:sz w:val="20"/>
                <w:szCs w:val="20"/>
              </w:rPr>
              <w:t>.</w:t>
            </w:r>
          </w:p>
          <w:p w14:paraId="71F1737A" w14:textId="77777777" w:rsidR="009F580C" w:rsidRPr="00EE69B1" w:rsidRDefault="009F580C" w:rsidP="001A3E2E">
            <w:pPr>
              <w:pStyle w:val="ListParagraph"/>
              <w:numPr>
                <w:ilvl w:val="0"/>
                <w:numId w:val="15"/>
              </w:numPr>
              <w:rPr>
                <w:rFonts w:ascii="Arial" w:hAnsi="Arial" w:cs="Arial"/>
                <w:sz w:val="20"/>
                <w:szCs w:val="20"/>
              </w:rPr>
            </w:pPr>
            <w:r w:rsidRPr="00EE69B1">
              <w:rPr>
                <w:rFonts w:ascii="Arial" w:hAnsi="Arial" w:cs="Arial"/>
                <w:sz w:val="20"/>
                <w:szCs w:val="20"/>
              </w:rPr>
              <w:t xml:space="preserve">History of lung transplantation or currently on lung transplant list. </w:t>
            </w:r>
          </w:p>
          <w:p w14:paraId="56E81691" w14:textId="0F372DD9" w:rsidR="009F580C" w:rsidRPr="00EE69B1" w:rsidRDefault="009F580C" w:rsidP="001A3E2E">
            <w:pPr>
              <w:pStyle w:val="ListParagraph"/>
              <w:numPr>
                <w:ilvl w:val="0"/>
                <w:numId w:val="15"/>
              </w:numPr>
              <w:rPr>
                <w:rFonts w:ascii="Arial" w:hAnsi="Arial" w:cs="Arial"/>
                <w:sz w:val="20"/>
                <w:szCs w:val="20"/>
              </w:rPr>
            </w:pPr>
            <w:r w:rsidRPr="00EE69B1">
              <w:rPr>
                <w:rFonts w:ascii="Arial" w:hAnsi="Arial" w:cs="Arial"/>
                <w:sz w:val="20"/>
                <w:szCs w:val="20"/>
              </w:rPr>
              <w:t>Relative decrease FEV</w:t>
            </w:r>
            <w:r w:rsidRPr="00B53A41">
              <w:rPr>
                <w:rFonts w:ascii="Arial" w:hAnsi="Arial" w:cs="Arial"/>
                <w:sz w:val="20"/>
                <w:szCs w:val="20"/>
                <w:vertAlign w:val="subscript"/>
              </w:rPr>
              <w:t>1</w:t>
            </w:r>
            <w:r w:rsidR="00B53A41">
              <w:rPr>
                <w:rFonts w:ascii="Arial" w:hAnsi="Arial" w:cs="Arial"/>
                <w:sz w:val="20"/>
                <w:szCs w:val="20"/>
              </w:rPr>
              <w:t>%</w:t>
            </w:r>
            <w:r w:rsidRPr="00EE69B1">
              <w:rPr>
                <w:rFonts w:ascii="Arial" w:hAnsi="Arial" w:cs="Arial"/>
                <w:sz w:val="20"/>
                <w:szCs w:val="20"/>
              </w:rPr>
              <w:t xml:space="preserve"> </w:t>
            </w:r>
            <w:r w:rsidRPr="00B53A41">
              <w:rPr>
                <w:rFonts w:ascii="Arial" w:hAnsi="Arial" w:cs="Arial"/>
                <w:sz w:val="20"/>
                <w:szCs w:val="20"/>
                <w:u w:val="single"/>
              </w:rPr>
              <w:t>&gt;</w:t>
            </w:r>
            <w:r w:rsidRPr="00EE69B1">
              <w:rPr>
                <w:rFonts w:ascii="Arial" w:hAnsi="Arial" w:cs="Arial"/>
                <w:sz w:val="20"/>
                <w:szCs w:val="20"/>
              </w:rPr>
              <w:t>20 between the screening and enrolment visit</w:t>
            </w:r>
            <w:r w:rsidR="00B53A41">
              <w:rPr>
                <w:rFonts w:ascii="Arial" w:hAnsi="Arial" w:cs="Arial"/>
                <w:sz w:val="20"/>
                <w:szCs w:val="20"/>
              </w:rPr>
              <w:t>.</w:t>
            </w:r>
          </w:p>
          <w:p w14:paraId="20B68D46" w14:textId="52E68A6A" w:rsidR="009F580C" w:rsidRPr="00EE69B1" w:rsidRDefault="009F580C" w:rsidP="001A3E2E">
            <w:pPr>
              <w:pStyle w:val="ListParagraph"/>
              <w:numPr>
                <w:ilvl w:val="0"/>
                <w:numId w:val="15"/>
              </w:numPr>
              <w:rPr>
                <w:rFonts w:ascii="Arial" w:hAnsi="Arial" w:cs="Arial"/>
                <w:sz w:val="20"/>
                <w:szCs w:val="20"/>
              </w:rPr>
            </w:pPr>
            <w:r w:rsidRPr="00EE69B1">
              <w:rPr>
                <w:rFonts w:ascii="Arial" w:hAnsi="Arial" w:cs="Arial"/>
                <w:sz w:val="20"/>
                <w:szCs w:val="20"/>
              </w:rPr>
              <w:t>Positive serum pregnancy test at screening</w:t>
            </w:r>
            <w:r w:rsidR="00B53A41">
              <w:rPr>
                <w:rFonts w:ascii="Arial" w:hAnsi="Arial" w:cs="Arial"/>
                <w:sz w:val="20"/>
                <w:szCs w:val="20"/>
              </w:rPr>
              <w:t>.</w:t>
            </w:r>
          </w:p>
          <w:p w14:paraId="16566CAE" w14:textId="7158E144" w:rsidR="009F580C" w:rsidRPr="00EE69B1" w:rsidRDefault="009F580C" w:rsidP="001A3E2E">
            <w:pPr>
              <w:pStyle w:val="ListParagraph"/>
              <w:numPr>
                <w:ilvl w:val="0"/>
                <w:numId w:val="15"/>
              </w:numPr>
              <w:rPr>
                <w:rFonts w:ascii="Arial" w:hAnsi="Arial" w:cs="Arial"/>
                <w:sz w:val="20"/>
                <w:szCs w:val="20"/>
              </w:rPr>
            </w:pPr>
            <w:r w:rsidRPr="00EE69B1">
              <w:rPr>
                <w:rFonts w:ascii="Arial" w:hAnsi="Arial" w:cs="Arial"/>
                <w:sz w:val="20"/>
                <w:szCs w:val="20"/>
              </w:rPr>
              <w:lastRenderedPageBreak/>
              <w:t>Pregnant, breastfeeding, or if post-menarche female, unwilling to practice birth control during participation in the study</w:t>
            </w:r>
            <w:r w:rsidR="00B53A41">
              <w:rPr>
                <w:rFonts w:ascii="Arial" w:hAnsi="Arial" w:cs="Arial"/>
                <w:sz w:val="20"/>
                <w:szCs w:val="20"/>
              </w:rPr>
              <w:t>.</w:t>
            </w:r>
            <w:r w:rsidRPr="00EE69B1">
              <w:rPr>
                <w:rFonts w:ascii="Arial" w:hAnsi="Arial" w:cs="Arial"/>
                <w:sz w:val="20"/>
                <w:szCs w:val="20"/>
              </w:rPr>
              <w:t xml:space="preserve"> </w:t>
            </w:r>
          </w:p>
          <w:p w14:paraId="0C94162C" w14:textId="2BC1BD83" w:rsidR="009F580C" w:rsidRPr="00EE69B1" w:rsidRDefault="009F580C" w:rsidP="001A3E2E">
            <w:pPr>
              <w:pStyle w:val="ListParagraph"/>
              <w:numPr>
                <w:ilvl w:val="0"/>
                <w:numId w:val="15"/>
              </w:numPr>
              <w:rPr>
                <w:rFonts w:ascii="Arial" w:hAnsi="Arial" w:cs="Arial"/>
                <w:sz w:val="20"/>
                <w:szCs w:val="20"/>
              </w:rPr>
            </w:pPr>
            <w:r w:rsidRPr="00EE69B1">
              <w:rPr>
                <w:rFonts w:ascii="Arial" w:hAnsi="Arial" w:cs="Arial"/>
                <w:sz w:val="20"/>
                <w:szCs w:val="20"/>
              </w:rPr>
              <w:t xml:space="preserve">History of alcohol, </w:t>
            </w:r>
            <w:r w:rsidR="00B53A41" w:rsidRPr="00EE69B1">
              <w:rPr>
                <w:rFonts w:ascii="Arial" w:hAnsi="Arial" w:cs="Arial"/>
                <w:sz w:val="20"/>
                <w:szCs w:val="20"/>
              </w:rPr>
              <w:t>illicit</w:t>
            </w:r>
            <w:r w:rsidRPr="00EE69B1">
              <w:rPr>
                <w:rFonts w:ascii="Arial" w:hAnsi="Arial" w:cs="Arial"/>
                <w:sz w:val="20"/>
                <w:szCs w:val="20"/>
              </w:rPr>
              <w:t xml:space="preserve"> drug or medication abuse within 1 year of screening in the judgement of the site investigator</w:t>
            </w:r>
            <w:r w:rsidR="00B53A41">
              <w:rPr>
                <w:rFonts w:ascii="Arial" w:hAnsi="Arial" w:cs="Arial"/>
                <w:sz w:val="20"/>
                <w:szCs w:val="20"/>
              </w:rPr>
              <w:t>.</w:t>
            </w:r>
            <w:r w:rsidRPr="00EE69B1">
              <w:rPr>
                <w:rFonts w:ascii="Arial" w:hAnsi="Arial" w:cs="Arial"/>
                <w:sz w:val="20"/>
                <w:szCs w:val="20"/>
              </w:rPr>
              <w:t xml:space="preserve"> </w:t>
            </w:r>
          </w:p>
          <w:p w14:paraId="6917FB3E" w14:textId="3D142627" w:rsidR="009F580C" w:rsidRPr="009F41DC" w:rsidRDefault="009F580C" w:rsidP="001A3E2E">
            <w:pPr>
              <w:pStyle w:val="ListParagraph"/>
              <w:numPr>
                <w:ilvl w:val="0"/>
                <w:numId w:val="15"/>
              </w:numPr>
              <w:rPr>
                <w:rFonts w:ascii="Arial" w:hAnsi="Arial" w:cs="Arial"/>
                <w:sz w:val="20"/>
                <w:szCs w:val="20"/>
              </w:rPr>
            </w:pPr>
            <w:r w:rsidRPr="009F41DC">
              <w:rPr>
                <w:rFonts w:ascii="Arial" w:hAnsi="Arial" w:cs="Arial"/>
                <w:sz w:val="20"/>
                <w:szCs w:val="20"/>
              </w:rPr>
              <w:t>Presence of a condition or abnormality that in the opinion of the site investigator would compromise the safety of the subject or the quality of data</w:t>
            </w:r>
            <w:r w:rsidR="00B53A41" w:rsidRPr="009F41DC">
              <w:rPr>
                <w:rFonts w:ascii="Arial" w:hAnsi="Arial" w:cs="Arial"/>
                <w:sz w:val="20"/>
                <w:szCs w:val="20"/>
              </w:rPr>
              <w:t>.</w:t>
            </w:r>
          </w:p>
        </w:tc>
        <w:tc>
          <w:tcPr>
            <w:tcW w:w="4508" w:type="dxa"/>
            <w:tcBorders>
              <w:top w:val="single" w:sz="4" w:space="0" w:color="auto"/>
            </w:tcBorders>
          </w:tcPr>
          <w:p w14:paraId="07BC3DC3" w14:textId="77777777" w:rsidR="009F580C" w:rsidRPr="00EE69B1" w:rsidRDefault="009F580C" w:rsidP="009F580C">
            <w:pPr>
              <w:rPr>
                <w:rFonts w:ascii="Arial" w:hAnsi="Arial" w:cs="Arial"/>
                <w:sz w:val="20"/>
                <w:szCs w:val="20"/>
              </w:rPr>
            </w:pPr>
            <w:r w:rsidRPr="00EE69B1">
              <w:rPr>
                <w:rFonts w:ascii="Arial" w:hAnsi="Arial" w:cs="Arial"/>
                <w:sz w:val="20"/>
                <w:szCs w:val="20"/>
              </w:rPr>
              <w:lastRenderedPageBreak/>
              <w:t>Inclusion criteria:</w:t>
            </w:r>
          </w:p>
          <w:p w14:paraId="3FD7A59E" w14:textId="64011B5A" w:rsidR="009F580C" w:rsidRPr="00EE69B1" w:rsidRDefault="009F580C" w:rsidP="001A3E2E">
            <w:pPr>
              <w:pStyle w:val="ListParagraph"/>
              <w:numPr>
                <w:ilvl w:val="0"/>
                <w:numId w:val="16"/>
              </w:numPr>
              <w:rPr>
                <w:rFonts w:ascii="Arial" w:hAnsi="Arial" w:cs="Arial"/>
                <w:sz w:val="20"/>
                <w:szCs w:val="20"/>
              </w:rPr>
            </w:pPr>
            <w:r w:rsidRPr="00EE69B1">
              <w:rPr>
                <w:rFonts w:ascii="Arial" w:hAnsi="Arial" w:cs="Arial"/>
                <w:sz w:val="20"/>
                <w:szCs w:val="20"/>
              </w:rPr>
              <w:t>Males or females aged 6-18 years</w:t>
            </w:r>
            <w:r w:rsidR="00D97AA2">
              <w:rPr>
                <w:rFonts w:ascii="Arial" w:hAnsi="Arial" w:cs="Arial"/>
                <w:sz w:val="20"/>
                <w:szCs w:val="20"/>
              </w:rPr>
              <w:t>.</w:t>
            </w:r>
          </w:p>
          <w:p w14:paraId="4EF97397" w14:textId="77777777" w:rsidR="009F580C" w:rsidRPr="00D97AA2" w:rsidRDefault="009F580C" w:rsidP="001A3E2E">
            <w:pPr>
              <w:pStyle w:val="ListParagraph"/>
              <w:numPr>
                <w:ilvl w:val="0"/>
                <w:numId w:val="16"/>
              </w:numPr>
              <w:rPr>
                <w:rFonts w:ascii="Arial" w:hAnsi="Arial" w:cs="Arial"/>
                <w:color w:val="000000" w:themeColor="text1"/>
                <w:sz w:val="20"/>
                <w:szCs w:val="20"/>
              </w:rPr>
            </w:pPr>
            <w:r w:rsidRPr="00D97AA2">
              <w:rPr>
                <w:rFonts w:ascii="Arial" w:hAnsi="Arial" w:cs="Arial"/>
                <w:color w:val="000000" w:themeColor="text1"/>
                <w:sz w:val="20"/>
                <w:szCs w:val="20"/>
              </w:rPr>
              <w:t>NA – assume confirmed diagnosis of CF if they are in the Registry.</w:t>
            </w:r>
          </w:p>
          <w:p w14:paraId="52D455D9" w14:textId="77777777" w:rsidR="009F580C" w:rsidRPr="00D97AA2" w:rsidRDefault="009F580C" w:rsidP="001A3E2E">
            <w:pPr>
              <w:pStyle w:val="ListParagraph"/>
              <w:numPr>
                <w:ilvl w:val="0"/>
                <w:numId w:val="16"/>
              </w:numPr>
              <w:rPr>
                <w:rFonts w:ascii="Arial" w:hAnsi="Arial" w:cs="Arial"/>
                <w:color w:val="000000" w:themeColor="text1"/>
                <w:sz w:val="20"/>
                <w:szCs w:val="20"/>
              </w:rPr>
            </w:pPr>
            <w:r w:rsidRPr="00D97AA2">
              <w:rPr>
                <w:rFonts w:ascii="Arial" w:hAnsi="Arial" w:cs="Arial"/>
                <w:color w:val="000000" w:themeColor="text1"/>
                <w:sz w:val="20"/>
                <w:szCs w:val="20"/>
              </w:rPr>
              <w:t>NA – written consent to be in Registry has been obtained</w:t>
            </w:r>
          </w:p>
          <w:p w14:paraId="36EE588C" w14:textId="574F49EC" w:rsidR="009F580C" w:rsidRPr="00D97AA2" w:rsidRDefault="009F580C" w:rsidP="001A3E2E">
            <w:pPr>
              <w:pStyle w:val="ListParagraph"/>
              <w:numPr>
                <w:ilvl w:val="0"/>
                <w:numId w:val="16"/>
              </w:numPr>
              <w:rPr>
                <w:rFonts w:ascii="Arial" w:hAnsi="Arial" w:cs="Arial"/>
                <w:color w:val="000000" w:themeColor="text1"/>
                <w:sz w:val="20"/>
                <w:szCs w:val="20"/>
              </w:rPr>
            </w:pPr>
            <w:r w:rsidRPr="00D97AA2">
              <w:rPr>
                <w:rFonts w:ascii="Arial" w:hAnsi="Arial" w:cs="Arial"/>
                <w:color w:val="000000" w:themeColor="text1"/>
                <w:sz w:val="20"/>
                <w:szCs w:val="20"/>
              </w:rPr>
              <w:t>NA – assume clinical stability at annual review visit</w:t>
            </w:r>
            <w:r w:rsidR="00D97AA2" w:rsidRPr="00D97AA2">
              <w:rPr>
                <w:rFonts w:ascii="Arial" w:hAnsi="Arial" w:cs="Arial"/>
                <w:color w:val="000000" w:themeColor="text1"/>
                <w:sz w:val="20"/>
                <w:szCs w:val="20"/>
              </w:rPr>
              <w:t>s.</w:t>
            </w:r>
          </w:p>
          <w:p w14:paraId="08985955" w14:textId="77777777" w:rsidR="00D97AA2" w:rsidRPr="00EE69B1" w:rsidRDefault="00D97AA2" w:rsidP="001A3E2E">
            <w:pPr>
              <w:pStyle w:val="ListParagraph"/>
              <w:numPr>
                <w:ilvl w:val="0"/>
                <w:numId w:val="16"/>
              </w:numPr>
              <w:rPr>
                <w:rFonts w:ascii="Arial" w:hAnsi="Arial" w:cs="Arial"/>
                <w:sz w:val="20"/>
                <w:szCs w:val="20"/>
              </w:rPr>
            </w:pPr>
            <w:r w:rsidRPr="00EE69B1">
              <w:rPr>
                <w:rFonts w:ascii="Arial" w:hAnsi="Arial" w:cs="Arial"/>
                <w:sz w:val="20"/>
                <w:szCs w:val="20"/>
              </w:rPr>
              <w:t>FEV</w:t>
            </w:r>
            <w:r w:rsidRPr="00D16EC6">
              <w:rPr>
                <w:rFonts w:ascii="Arial" w:hAnsi="Arial" w:cs="Arial"/>
                <w:sz w:val="20"/>
                <w:szCs w:val="20"/>
                <w:vertAlign w:val="subscript"/>
              </w:rPr>
              <w:t>1</w:t>
            </w:r>
            <w:r>
              <w:rPr>
                <w:rFonts w:ascii="Arial" w:hAnsi="Arial" w:cs="Arial"/>
                <w:sz w:val="20"/>
                <w:szCs w:val="20"/>
              </w:rPr>
              <w:t>%</w:t>
            </w:r>
            <w:r w:rsidRPr="00EE69B1">
              <w:rPr>
                <w:rFonts w:ascii="Arial" w:hAnsi="Arial" w:cs="Arial"/>
                <w:sz w:val="20"/>
                <w:szCs w:val="20"/>
              </w:rPr>
              <w:t>&gt;50</w:t>
            </w:r>
            <w:r>
              <w:rPr>
                <w:rFonts w:ascii="Arial" w:hAnsi="Arial" w:cs="Arial"/>
                <w:sz w:val="20"/>
                <w:szCs w:val="20"/>
              </w:rPr>
              <w:t>.</w:t>
            </w:r>
          </w:p>
          <w:p w14:paraId="3C8BDA9F" w14:textId="77777777" w:rsidR="009F580C" w:rsidRPr="00D97AA2" w:rsidRDefault="009F580C" w:rsidP="001A3E2E">
            <w:pPr>
              <w:pStyle w:val="ListParagraph"/>
              <w:numPr>
                <w:ilvl w:val="0"/>
                <w:numId w:val="16"/>
              </w:numPr>
              <w:rPr>
                <w:rFonts w:ascii="Arial" w:hAnsi="Arial" w:cs="Arial"/>
                <w:color w:val="000000" w:themeColor="text1"/>
                <w:sz w:val="20"/>
                <w:szCs w:val="20"/>
              </w:rPr>
            </w:pPr>
            <w:r w:rsidRPr="00D97AA2">
              <w:rPr>
                <w:rFonts w:ascii="Arial" w:hAnsi="Arial" w:cs="Arial"/>
                <w:color w:val="000000" w:themeColor="text1"/>
                <w:sz w:val="20"/>
                <w:szCs w:val="20"/>
              </w:rPr>
              <w:t xml:space="preserve">NA – assume ability to comply with medication use. </w:t>
            </w:r>
          </w:p>
          <w:p w14:paraId="5C4EDD5A" w14:textId="31730832" w:rsidR="009F580C" w:rsidRPr="00A5650F" w:rsidRDefault="009F580C" w:rsidP="001A3E2E">
            <w:pPr>
              <w:pStyle w:val="ListParagraph"/>
              <w:numPr>
                <w:ilvl w:val="0"/>
                <w:numId w:val="16"/>
              </w:numPr>
              <w:rPr>
                <w:rFonts w:ascii="Arial" w:hAnsi="Arial" w:cs="Arial"/>
                <w:color w:val="000000" w:themeColor="text1"/>
                <w:sz w:val="20"/>
                <w:szCs w:val="20"/>
              </w:rPr>
            </w:pPr>
            <w:r w:rsidRPr="00A5650F">
              <w:rPr>
                <w:rFonts w:ascii="Arial" w:hAnsi="Arial" w:cs="Arial"/>
                <w:color w:val="000000" w:themeColor="text1"/>
                <w:sz w:val="20"/>
                <w:szCs w:val="20"/>
              </w:rPr>
              <w:t>NA – assume ability to swally tablet</w:t>
            </w:r>
            <w:r w:rsidR="00A5650F" w:rsidRPr="00A5650F">
              <w:rPr>
                <w:rFonts w:ascii="Arial" w:hAnsi="Arial" w:cs="Arial"/>
                <w:color w:val="000000" w:themeColor="text1"/>
                <w:sz w:val="20"/>
                <w:szCs w:val="20"/>
              </w:rPr>
              <w:t>.</w:t>
            </w:r>
          </w:p>
          <w:p w14:paraId="747C6611" w14:textId="77777777" w:rsidR="009F580C" w:rsidRPr="00EE69B1" w:rsidRDefault="009F580C" w:rsidP="009F580C">
            <w:pPr>
              <w:rPr>
                <w:rFonts w:ascii="Arial" w:hAnsi="Arial" w:cs="Arial"/>
                <w:sz w:val="20"/>
                <w:szCs w:val="20"/>
              </w:rPr>
            </w:pPr>
          </w:p>
          <w:p w14:paraId="63648386" w14:textId="77777777" w:rsidR="009F580C" w:rsidRPr="00EE69B1" w:rsidRDefault="009F580C" w:rsidP="009F580C">
            <w:pPr>
              <w:rPr>
                <w:rFonts w:ascii="Arial" w:hAnsi="Arial" w:cs="Arial"/>
                <w:sz w:val="20"/>
                <w:szCs w:val="20"/>
              </w:rPr>
            </w:pPr>
            <w:r w:rsidRPr="00EE69B1">
              <w:rPr>
                <w:rFonts w:ascii="Arial" w:hAnsi="Arial" w:cs="Arial"/>
                <w:sz w:val="20"/>
                <w:szCs w:val="20"/>
              </w:rPr>
              <w:t>Exclusion criteria:</w:t>
            </w:r>
          </w:p>
          <w:p w14:paraId="22169482" w14:textId="22F89DFC" w:rsidR="009F580C" w:rsidRPr="00A5650F" w:rsidRDefault="009F580C" w:rsidP="001A3E2E">
            <w:pPr>
              <w:pStyle w:val="ListParagraph"/>
              <w:numPr>
                <w:ilvl w:val="0"/>
                <w:numId w:val="24"/>
              </w:numPr>
              <w:rPr>
                <w:rFonts w:ascii="Arial" w:hAnsi="Arial" w:cs="Arial"/>
                <w:sz w:val="20"/>
                <w:szCs w:val="20"/>
              </w:rPr>
            </w:pPr>
            <w:r w:rsidRPr="00A5650F">
              <w:rPr>
                <w:rFonts w:ascii="Arial" w:hAnsi="Arial" w:cs="Arial"/>
                <w:sz w:val="20"/>
                <w:szCs w:val="20"/>
              </w:rPr>
              <w:t>Weigh less than 18.0k</w:t>
            </w:r>
            <w:r w:rsidR="00A5650F">
              <w:rPr>
                <w:rFonts w:ascii="Arial" w:hAnsi="Arial" w:cs="Arial"/>
                <w:sz w:val="20"/>
                <w:szCs w:val="20"/>
              </w:rPr>
              <w:t>g.</w:t>
            </w:r>
          </w:p>
          <w:p w14:paraId="574BF71F" w14:textId="0FD7A7DB" w:rsidR="009F580C" w:rsidRPr="00EE69B1" w:rsidRDefault="009F580C" w:rsidP="001A3E2E">
            <w:pPr>
              <w:pStyle w:val="ListParagraph"/>
              <w:numPr>
                <w:ilvl w:val="0"/>
                <w:numId w:val="24"/>
              </w:numPr>
              <w:rPr>
                <w:rFonts w:ascii="Arial" w:hAnsi="Arial" w:cs="Arial"/>
                <w:sz w:val="20"/>
                <w:szCs w:val="20"/>
              </w:rPr>
            </w:pPr>
            <w:r w:rsidRPr="00EE69B1">
              <w:rPr>
                <w:rFonts w:ascii="Arial" w:hAnsi="Arial" w:cs="Arial"/>
                <w:sz w:val="20"/>
                <w:szCs w:val="20"/>
              </w:rPr>
              <w:t xml:space="preserve">Positive growth cultures for </w:t>
            </w:r>
            <w:r w:rsidRPr="00B066BD">
              <w:rPr>
                <w:rFonts w:ascii="Arial" w:hAnsi="Arial" w:cs="Arial"/>
                <w:i/>
                <w:iCs/>
                <w:sz w:val="20"/>
                <w:szCs w:val="20"/>
              </w:rPr>
              <w:t>P</w:t>
            </w:r>
            <w:r w:rsidR="00C13461">
              <w:rPr>
                <w:rFonts w:ascii="Arial" w:hAnsi="Arial" w:cs="Arial"/>
                <w:i/>
                <w:iCs/>
                <w:sz w:val="20"/>
                <w:szCs w:val="20"/>
              </w:rPr>
              <w:t xml:space="preserve">seudomonas </w:t>
            </w:r>
            <w:r w:rsidRPr="00B066BD">
              <w:rPr>
                <w:rFonts w:ascii="Arial" w:hAnsi="Arial" w:cs="Arial"/>
                <w:i/>
                <w:iCs/>
                <w:sz w:val="20"/>
                <w:szCs w:val="20"/>
              </w:rPr>
              <w:t>aeruginosa</w:t>
            </w:r>
            <w:r w:rsidRPr="00EE69B1">
              <w:rPr>
                <w:rFonts w:ascii="Arial" w:hAnsi="Arial" w:cs="Arial"/>
                <w:sz w:val="20"/>
                <w:szCs w:val="20"/>
              </w:rPr>
              <w:t xml:space="preserve">, NTM or </w:t>
            </w:r>
            <w:r w:rsidRPr="00B066BD">
              <w:rPr>
                <w:rFonts w:ascii="Arial" w:hAnsi="Arial" w:cs="Arial"/>
                <w:i/>
                <w:iCs/>
                <w:sz w:val="20"/>
                <w:szCs w:val="20"/>
              </w:rPr>
              <w:t>B</w:t>
            </w:r>
            <w:r w:rsidR="00C13461">
              <w:rPr>
                <w:rFonts w:ascii="Arial" w:hAnsi="Arial" w:cs="Arial"/>
                <w:i/>
                <w:iCs/>
                <w:sz w:val="20"/>
                <w:szCs w:val="20"/>
              </w:rPr>
              <w:t>urkholderia</w:t>
            </w:r>
            <w:r w:rsidRPr="00B066BD">
              <w:rPr>
                <w:rFonts w:ascii="Arial" w:hAnsi="Arial" w:cs="Arial"/>
                <w:i/>
                <w:iCs/>
                <w:sz w:val="20"/>
                <w:szCs w:val="20"/>
              </w:rPr>
              <w:t xml:space="preserve"> </w:t>
            </w:r>
            <w:r w:rsidR="00EE490B" w:rsidRPr="00B066BD">
              <w:rPr>
                <w:rFonts w:ascii="Arial" w:hAnsi="Arial" w:cs="Arial"/>
                <w:i/>
                <w:iCs/>
                <w:sz w:val="20"/>
                <w:szCs w:val="20"/>
              </w:rPr>
              <w:t>cepacia</w:t>
            </w:r>
            <w:r w:rsidR="00EE490B">
              <w:rPr>
                <w:rFonts w:ascii="Arial" w:hAnsi="Arial" w:cs="Arial"/>
                <w:sz w:val="20"/>
                <w:szCs w:val="20"/>
              </w:rPr>
              <w:t xml:space="preserve"> at index visit or any annual review within 1 year prior to index visit. </w:t>
            </w:r>
          </w:p>
          <w:p w14:paraId="18544D6F" w14:textId="6497AE6D" w:rsidR="009F580C" w:rsidRPr="00EE69B1" w:rsidRDefault="009F580C" w:rsidP="001A3E2E">
            <w:pPr>
              <w:pStyle w:val="ListParagraph"/>
              <w:numPr>
                <w:ilvl w:val="0"/>
                <w:numId w:val="24"/>
              </w:numPr>
              <w:rPr>
                <w:rFonts w:ascii="Arial" w:hAnsi="Arial" w:cs="Arial"/>
                <w:sz w:val="20"/>
                <w:szCs w:val="20"/>
              </w:rPr>
            </w:pPr>
            <w:r w:rsidRPr="00EE69B1">
              <w:rPr>
                <w:rFonts w:ascii="Arial" w:hAnsi="Arial" w:cs="Arial"/>
                <w:sz w:val="20"/>
                <w:szCs w:val="20"/>
              </w:rPr>
              <w:t>Intolerance to macrolides</w:t>
            </w:r>
            <w:r w:rsidR="00385910">
              <w:rPr>
                <w:rFonts w:ascii="Arial" w:hAnsi="Arial" w:cs="Arial"/>
                <w:sz w:val="20"/>
                <w:szCs w:val="20"/>
              </w:rPr>
              <w:t>.</w:t>
            </w:r>
          </w:p>
          <w:p w14:paraId="752B67C0" w14:textId="14770576" w:rsidR="009F580C" w:rsidRPr="00EE69B1" w:rsidRDefault="009F580C" w:rsidP="001A3E2E">
            <w:pPr>
              <w:pStyle w:val="ListParagraph"/>
              <w:numPr>
                <w:ilvl w:val="0"/>
                <w:numId w:val="24"/>
              </w:numPr>
              <w:rPr>
                <w:rFonts w:ascii="Arial" w:hAnsi="Arial" w:cs="Arial"/>
                <w:sz w:val="20"/>
                <w:szCs w:val="20"/>
              </w:rPr>
            </w:pPr>
            <w:r w:rsidRPr="00EE69B1">
              <w:rPr>
                <w:rFonts w:ascii="Arial" w:hAnsi="Arial" w:cs="Arial"/>
                <w:sz w:val="20"/>
                <w:szCs w:val="20"/>
              </w:rPr>
              <w:t>Prescription of macrolides</w:t>
            </w:r>
            <w:r w:rsidR="0014502E">
              <w:rPr>
                <w:rFonts w:ascii="Arial" w:hAnsi="Arial" w:cs="Arial"/>
                <w:sz w:val="20"/>
                <w:szCs w:val="20"/>
              </w:rPr>
              <w:t xml:space="preserve"> within 14 days prior to index visit. </w:t>
            </w:r>
          </w:p>
          <w:p w14:paraId="1D381515" w14:textId="03B46F66" w:rsidR="009F580C" w:rsidRPr="00EE69B1" w:rsidRDefault="009F580C" w:rsidP="001A3E2E">
            <w:pPr>
              <w:pStyle w:val="ListParagraph"/>
              <w:numPr>
                <w:ilvl w:val="0"/>
                <w:numId w:val="24"/>
              </w:numPr>
              <w:rPr>
                <w:rFonts w:ascii="Arial" w:hAnsi="Arial" w:cs="Arial"/>
                <w:sz w:val="20"/>
                <w:szCs w:val="20"/>
              </w:rPr>
            </w:pPr>
            <w:r w:rsidRPr="00EE69B1">
              <w:rPr>
                <w:rFonts w:ascii="Arial" w:hAnsi="Arial" w:cs="Arial"/>
                <w:sz w:val="20"/>
                <w:szCs w:val="20"/>
              </w:rPr>
              <w:t>Prescription of systemic corticosteroids or oral antibiotics, use of IV antibiotics</w:t>
            </w:r>
            <w:r w:rsidR="0014502E">
              <w:rPr>
                <w:rFonts w:ascii="Arial" w:hAnsi="Arial" w:cs="Arial"/>
                <w:sz w:val="20"/>
                <w:szCs w:val="20"/>
              </w:rPr>
              <w:t xml:space="preserve">. </w:t>
            </w:r>
          </w:p>
          <w:p w14:paraId="0B8D8280" w14:textId="7CE9CB33" w:rsidR="009F580C" w:rsidRPr="00EE69B1" w:rsidRDefault="009F580C" w:rsidP="001A3E2E">
            <w:pPr>
              <w:pStyle w:val="ListParagraph"/>
              <w:numPr>
                <w:ilvl w:val="0"/>
                <w:numId w:val="24"/>
              </w:numPr>
              <w:rPr>
                <w:rFonts w:ascii="Arial" w:hAnsi="Arial" w:cs="Arial"/>
                <w:sz w:val="20"/>
                <w:szCs w:val="20"/>
              </w:rPr>
            </w:pPr>
            <w:r w:rsidRPr="00EE69B1">
              <w:rPr>
                <w:rFonts w:ascii="Arial" w:hAnsi="Arial" w:cs="Arial"/>
                <w:sz w:val="20"/>
                <w:szCs w:val="20"/>
              </w:rPr>
              <w:t>Prescription of high dose ibuprofen,</w:t>
            </w:r>
            <w:r w:rsidR="00544D6B">
              <w:rPr>
                <w:rFonts w:ascii="Arial" w:hAnsi="Arial" w:cs="Arial"/>
                <w:sz w:val="20"/>
                <w:szCs w:val="20"/>
              </w:rPr>
              <w:t xml:space="preserve"> dornase alfa,</w:t>
            </w:r>
            <w:r w:rsidRPr="00EE69B1">
              <w:rPr>
                <w:rFonts w:ascii="Arial" w:hAnsi="Arial" w:cs="Arial"/>
                <w:sz w:val="20"/>
                <w:szCs w:val="20"/>
              </w:rPr>
              <w:t xml:space="preserve"> hypertonic saline or inhaled antibiotics</w:t>
            </w:r>
            <w:r w:rsidR="00544D6B">
              <w:rPr>
                <w:rFonts w:ascii="Arial" w:hAnsi="Arial" w:cs="Arial"/>
                <w:sz w:val="20"/>
                <w:szCs w:val="20"/>
              </w:rPr>
              <w:t>.</w:t>
            </w:r>
          </w:p>
          <w:p w14:paraId="4ED420FF" w14:textId="478AE4BE" w:rsidR="009F580C" w:rsidRPr="009F41DC" w:rsidRDefault="009F580C" w:rsidP="001A3E2E">
            <w:pPr>
              <w:pStyle w:val="ListParagraph"/>
              <w:numPr>
                <w:ilvl w:val="0"/>
                <w:numId w:val="24"/>
              </w:numPr>
              <w:rPr>
                <w:rFonts w:ascii="Arial" w:hAnsi="Arial" w:cs="Arial"/>
                <w:color w:val="000000" w:themeColor="text1"/>
                <w:sz w:val="20"/>
                <w:szCs w:val="20"/>
              </w:rPr>
            </w:pPr>
            <w:r w:rsidRPr="009F41DC">
              <w:rPr>
                <w:rFonts w:ascii="Arial" w:hAnsi="Arial" w:cs="Arial"/>
                <w:color w:val="000000" w:themeColor="text1"/>
                <w:sz w:val="20"/>
                <w:szCs w:val="20"/>
              </w:rPr>
              <w:t>Unable to emulate this criterion</w:t>
            </w:r>
            <w:r w:rsidR="009F41DC">
              <w:rPr>
                <w:rFonts w:ascii="Arial" w:hAnsi="Arial" w:cs="Arial"/>
                <w:color w:val="000000" w:themeColor="text1"/>
                <w:sz w:val="20"/>
                <w:szCs w:val="20"/>
              </w:rPr>
              <w:t>.</w:t>
            </w:r>
          </w:p>
          <w:p w14:paraId="3B02AED4" w14:textId="36762417" w:rsidR="009F580C" w:rsidRPr="009F41DC" w:rsidRDefault="009F580C" w:rsidP="001A3E2E">
            <w:pPr>
              <w:pStyle w:val="ListParagraph"/>
              <w:numPr>
                <w:ilvl w:val="0"/>
                <w:numId w:val="24"/>
              </w:numPr>
              <w:rPr>
                <w:rFonts w:ascii="Arial" w:hAnsi="Arial" w:cs="Arial"/>
                <w:color w:val="000000" w:themeColor="text1"/>
                <w:sz w:val="20"/>
                <w:szCs w:val="20"/>
              </w:rPr>
            </w:pPr>
            <w:r w:rsidRPr="009F41DC">
              <w:rPr>
                <w:rFonts w:ascii="Arial" w:hAnsi="Arial" w:cs="Arial"/>
                <w:color w:val="000000" w:themeColor="text1"/>
                <w:sz w:val="20"/>
                <w:szCs w:val="20"/>
              </w:rPr>
              <w:t>Unable to emulate this criterion</w:t>
            </w:r>
            <w:r w:rsidR="009F41DC">
              <w:rPr>
                <w:rFonts w:ascii="Arial" w:hAnsi="Arial" w:cs="Arial"/>
                <w:color w:val="000000" w:themeColor="text1"/>
                <w:sz w:val="20"/>
                <w:szCs w:val="20"/>
              </w:rPr>
              <w:t>.</w:t>
            </w:r>
          </w:p>
          <w:p w14:paraId="70F9CCD6" w14:textId="799CCD5B" w:rsidR="009F580C" w:rsidRPr="00EE69B1" w:rsidRDefault="009F580C" w:rsidP="001A3E2E">
            <w:pPr>
              <w:pStyle w:val="ListParagraph"/>
              <w:numPr>
                <w:ilvl w:val="0"/>
                <w:numId w:val="24"/>
              </w:numPr>
              <w:rPr>
                <w:rFonts w:ascii="Arial" w:hAnsi="Arial" w:cs="Arial"/>
                <w:sz w:val="20"/>
                <w:szCs w:val="20"/>
              </w:rPr>
            </w:pPr>
            <w:r w:rsidRPr="00EE69B1">
              <w:rPr>
                <w:rFonts w:ascii="Arial" w:hAnsi="Arial" w:cs="Arial"/>
                <w:sz w:val="20"/>
                <w:szCs w:val="20"/>
              </w:rPr>
              <w:t>Abnormal renal or hepatic function or serum chemistry, defined as AST or ALT &gt; 5 x ULN</w:t>
            </w:r>
            <w:r w:rsidR="00EE21F5">
              <w:rPr>
                <w:rFonts w:ascii="Arial" w:hAnsi="Arial" w:cs="Arial"/>
                <w:sz w:val="20"/>
                <w:szCs w:val="20"/>
              </w:rPr>
              <w:t xml:space="preserve"> </w:t>
            </w:r>
            <w:r w:rsidRPr="00EE69B1">
              <w:rPr>
                <w:rFonts w:ascii="Arial" w:hAnsi="Arial" w:cs="Arial"/>
                <w:sz w:val="20"/>
                <w:szCs w:val="20"/>
              </w:rPr>
              <w:t>or serum creatinine &gt; 2 x ULN</w:t>
            </w:r>
            <w:r w:rsidR="009F41DC">
              <w:rPr>
                <w:rFonts w:ascii="Arial" w:hAnsi="Arial" w:cs="Arial"/>
                <w:sz w:val="20"/>
                <w:szCs w:val="20"/>
              </w:rPr>
              <w:t>.</w:t>
            </w:r>
          </w:p>
          <w:p w14:paraId="3A341512" w14:textId="2C0F8F25" w:rsidR="009F580C" w:rsidRPr="00EE69B1" w:rsidRDefault="009F580C" w:rsidP="001A3E2E">
            <w:pPr>
              <w:pStyle w:val="ListParagraph"/>
              <w:numPr>
                <w:ilvl w:val="0"/>
                <w:numId w:val="24"/>
              </w:numPr>
              <w:rPr>
                <w:rFonts w:ascii="Arial" w:hAnsi="Arial" w:cs="Arial"/>
                <w:sz w:val="20"/>
                <w:szCs w:val="20"/>
              </w:rPr>
            </w:pPr>
            <w:r w:rsidRPr="00EE69B1">
              <w:rPr>
                <w:rFonts w:ascii="Arial" w:hAnsi="Arial" w:cs="Arial"/>
                <w:sz w:val="20"/>
                <w:szCs w:val="20"/>
              </w:rPr>
              <w:t>History of portal hypertension</w:t>
            </w:r>
            <w:r w:rsidR="009F41DC">
              <w:rPr>
                <w:rFonts w:ascii="Arial" w:hAnsi="Arial" w:cs="Arial"/>
                <w:sz w:val="20"/>
                <w:szCs w:val="20"/>
              </w:rPr>
              <w:t>.</w:t>
            </w:r>
          </w:p>
          <w:p w14:paraId="7B191998" w14:textId="1B0EF26F" w:rsidR="009F580C" w:rsidRPr="00EE69B1" w:rsidRDefault="009F580C" w:rsidP="001A3E2E">
            <w:pPr>
              <w:pStyle w:val="ListParagraph"/>
              <w:numPr>
                <w:ilvl w:val="0"/>
                <w:numId w:val="24"/>
              </w:numPr>
              <w:rPr>
                <w:rFonts w:ascii="Arial" w:hAnsi="Arial" w:cs="Arial"/>
                <w:sz w:val="20"/>
                <w:szCs w:val="20"/>
              </w:rPr>
            </w:pPr>
            <w:r w:rsidRPr="00EE69B1">
              <w:rPr>
                <w:rFonts w:ascii="Arial" w:hAnsi="Arial" w:cs="Arial"/>
                <w:sz w:val="20"/>
                <w:szCs w:val="20"/>
              </w:rPr>
              <w:t>History of arrhythmia (bradycardia or tachyarrhythmia</w:t>
            </w:r>
            <w:r w:rsidR="009F41DC">
              <w:rPr>
                <w:rFonts w:ascii="Arial" w:hAnsi="Arial" w:cs="Arial"/>
                <w:sz w:val="20"/>
                <w:szCs w:val="20"/>
              </w:rPr>
              <w:t>).</w:t>
            </w:r>
          </w:p>
          <w:p w14:paraId="0CF7D60E" w14:textId="2EE098CB" w:rsidR="009F580C" w:rsidRPr="00EE69B1" w:rsidRDefault="009F580C" w:rsidP="001A3E2E">
            <w:pPr>
              <w:pStyle w:val="ListParagraph"/>
              <w:numPr>
                <w:ilvl w:val="0"/>
                <w:numId w:val="24"/>
              </w:numPr>
              <w:rPr>
                <w:rFonts w:ascii="Arial" w:hAnsi="Arial" w:cs="Arial"/>
                <w:sz w:val="20"/>
                <w:szCs w:val="20"/>
              </w:rPr>
            </w:pPr>
            <w:r w:rsidRPr="00EE69B1">
              <w:rPr>
                <w:rFonts w:ascii="Arial" w:hAnsi="Arial" w:cs="Arial"/>
                <w:sz w:val="20"/>
                <w:szCs w:val="20"/>
              </w:rPr>
              <w:t>Kidney/renal complications (including hypertension)</w:t>
            </w:r>
            <w:r w:rsidR="009F41DC">
              <w:rPr>
                <w:rFonts w:ascii="Arial" w:hAnsi="Arial" w:cs="Arial"/>
                <w:sz w:val="20"/>
                <w:szCs w:val="20"/>
              </w:rPr>
              <w:t>.</w:t>
            </w:r>
          </w:p>
          <w:p w14:paraId="1ADB980D" w14:textId="000D843F" w:rsidR="009F580C" w:rsidRPr="00EE69B1" w:rsidRDefault="009F580C" w:rsidP="001A3E2E">
            <w:pPr>
              <w:pStyle w:val="ListParagraph"/>
              <w:numPr>
                <w:ilvl w:val="0"/>
                <w:numId w:val="24"/>
              </w:numPr>
              <w:rPr>
                <w:rFonts w:ascii="Arial" w:hAnsi="Arial" w:cs="Arial"/>
                <w:sz w:val="20"/>
                <w:szCs w:val="20"/>
              </w:rPr>
            </w:pPr>
            <w:r w:rsidRPr="00EE69B1">
              <w:rPr>
                <w:rFonts w:ascii="Arial" w:hAnsi="Arial" w:cs="Arial"/>
                <w:sz w:val="20"/>
                <w:szCs w:val="20"/>
              </w:rPr>
              <w:t>History of lung transplantation</w:t>
            </w:r>
            <w:r w:rsidR="009F41DC">
              <w:rPr>
                <w:rFonts w:ascii="Arial" w:hAnsi="Arial" w:cs="Arial"/>
                <w:sz w:val="20"/>
                <w:szCs w:val="20"/>
              </w:rPr>
              <w:t>.</w:t>
            </w:r>
          </w:p>
          <w:p w14:paraId="7564F0B4" w14:textId="77777777" w:rsidR="009F580C" w:rsidRPr="009F41DC" w:rsidRDefault="009F580C" w:rsidP="001A3E2E">
            <w:pPr>
              <w:pStyle w:val="ListParagraph"/>
              <w:numPr>
                <w:ilvl w:val="0"/>
                <w:numId w:val="24"/>
              </w:numPr>
              <w:rPr>
                <w:rFonts w:ascii="Arial" w:hAnsi="Arial" w:cs="Arial"/>
                <w:color w:val="000000" w:themeColor="text1"/>
                <w:sz w:val="20"/>
                <w:szCs w:val="20"/>
              </w:rPr>
            </w:pPr>
            <w:r w:rsidRPr="009F41DC">
              <w:rPr>
                <w:rFonts w:ascii="Arial" w:hAnsi="Arial" w:cs="Arial"/>
                <w:color w:val="000000" w:themeColor="text1"/>
                <w:sz w:val="20"/>
                <w:szCs w:val="20"/>
              </w:rPr>
              <w:t>Unable to emulate this criterion</w:t>
            </w:r>
          </w:p>
          <w:p w14:paraId="3C731C42" w14:textId="77777777" w:rsidR="009F580C" w:rsidRPr="009F41DC" w:rsidRDefault="009F580C" w:rsidP="001A3E2E">
            <w:pPr>
              <w:pStyle w:val="ListParagraph"/>
              <w:numPr>
                <w:ilvl w:val="0"/>
                <w:numId w:val="24"/>
              </w:numPr>
              <w:rPr>
                <w:rFonts w:ascii="Arial" w:hAnsi="Arial" w:cs="Arial"/>
                <w:color w:val="000000" w:themeColor="text1"/>
                <w:sz w:val="20"/>
                <w:szCs w:val="20"/>
              </w:rPr>
            </w:pPr>
            <w:r w:rsidRPr="009F41DC">
              <w:rPr>
                <w:rFonts w:ascii="Arial" w:hAnsi="Arial" w:cs="Arial"/>
                <w:color w:val="000000" w:themeColor="text1"/>
                <w:sz w:val="20"/>
                <w:szCs w:val="20"/>
              </w:rPr>
              <w:t>Unable to emulate this criterion</w:t>
            </w:r>
          </w:p>
          <w:p w14:paraId="270FD4FD" w14:textId="5BD36B1F" w:rsidR="009F580C" w:rsidRPr="00EE69B1" w:rsidRDefault="009F580C" w:rsidP="001A3E2E">
            <w:pPr>
              <w:pStyle w:val="ListParagraph"/>
              <w:numPr>
                <w:ilvl w:val="0"/>
                <w:numId w:val="24"/>
              </w:numPr>
              <w:rPr>
                <w:rFonts w:ascii="Arial" w:hAnsi="Arial" w:cs="Arial"/>
                <w:sz w:val="20"/>
                <w:szCs w:val="20"/>
              </w:rPr>
            </w:pPr>
            <w:r w:rsidRPr="00EE69B1">
              <w:rPr>
                <w:rFonts w:ascii="Arial" w:hAnsi="Arial" w:cs="Arial"/>
                <w:sz w:val="20"/>
                <w:szCs w:val="20"/>
              </w:rPr>
              <w:t>Individuals with an undelivered pregnancy</w:t>
            </w:r>
            <w:r w:rsidR="009F41DC">
              <w:rPr>
                <w:rFonts w:ascii="Arial" w:hAnsi="Arial" w:cs="Arial"/>
                <w:sz w:val="20"/>
                <w:szCs w:val="20"/>
              </w:rPr>
              <w:t>.</w:t>
            </w:r>
          </w:p>
          <w:p w14:paraId="256AAC8D" w14:textId="3069906A" w:rsidR="009F580C" w:rsidRPr="009F41DC" w:rsidRDefault="009F580C" w:rsidP="001A3E2E">
            <w:pPr>
              <w:pStyle w:val="ListParagraph"/>
              <w:numPr>
                <w:ilvl w:val="0"/>
                <w:numId w:val="24"/>
              </w:numPr>
              <w:rPr>
                <w:rFonts w:ascii="Arial" w:hAnsi="Arial" w:cs="Arial"/>
                <w:color w:val="000000" w:themeColor="text1"/>
                <w:sz w:val="20"/>
                <w:szCs w:val="20"/>
              </w:rPr>
            </w:pPr>
            <w:r w:rsidRPr="009F41DC">
              <w:rPr>
                <w:rFonts w:ascii="Arial" w:hAnsi="Arial" w:cs="Arial"/>
                <w:color w:val="000000" w:themeColor="text1"/>
                <w:sz w:val="20"/>
                <w:szCs w:val="20"/>
              </w:rPr>
              <w:t>Unable to emulate this criterion</w:t>
            </w:r>
            <w:r w:rsidR="009F41DC">
              <w:rPr>
                <w:rFonts w:ascii="Arial" w:hAnsi="Arial" w:cs="Arial"/>
                <w:color w:val="000000" w:themeColor="text1"/>
                <w:sz w:val="20"/>
                <w:szCs w:val="20"/>
              </w:rPr>
              <w:t>.</w:t>
            </w:r>
          </w:p>
          <w:p w14:paraId="086A715F" w14:textId="5CD60A06" w:rsidR="009F580C" w:rsidRPr="009F41DC" w:rsidRDefault="009F580C" w:rsidP="001A3E2E">
            <w:pPr>
              <w:pStyle w:val="ListParagraph"/>
              <w:numPr>
                <w:ilvl w:val="0"/>
                <w:numId w:val="24"/>
              </w:numPr>
              <w:rPr>
                <w:rFonts w:ascii="Arial" w:hAnsi="Arial" w:cs="Arial"/>
                <w:color w:val="000000" w:themeColor="text1"/>
                <w:sz w:val="20"/>
                <w:szCs w:val="20"/>
              </w:rPr>
            </w:pPr>
            <w:r w:rsidRPr="009F41DC">
              <w:rPr>
                <w:rFonts w:ascii="Arial" w:hAnsi="Arial" w:cs="Arial"/>
                <w:color w:val="000000" w:themeColor="text1"/>
                <w:sz w:val="20"/>
                <w:szCs w:val="20"/>
              </w:rPr>
              <w:t>Unable to emulate this criterion</w:t>
            </w:r>
            <w:r w:rsidR="009F41DC">
              <w:rPr>
                <w:rFonts w:ascii="Arial" w:hAnsi="Arial" w:cs="Arial"/>
                <w:color w:val="000000" w:themeColor="text1"/>
                <w:sz w:val="20"/>
                <w:szCs w:val="20"/>
              </w:rPr>
              <w:t>.</w:t>
            </w:r>
          </w:p>
          <w:p w14:paraId="45C41F18" w14:textId="6CDA24A2" w:rsidR="009F580C" w:rsidRPr="009F41DC" w:rsidRDefault="009F580C" w:rsidP="009F41DC">
            <w:pPr>
              <w:rPr>
                <w:rFonts w:ascii="Arial" w:hAnsi="Arial" w:cs="Arial"/>
                <w:sz w:val="20"/>
                <w:szCs w:val="20"/>
              </w:rPr>
            </w:pPr>
          </w:p>
        </w:tc>
      </w:tr>
    </w:tbl>
    <w:p w14:paraId="15C42B28" w14:textId="77777777" w:rsidR="00A2486B" w:rsidRDefault="00A2486B" w:rsidP="00A2486B"/>
    <w:p w14:paraId="21B85701" w14:textId="2FA06CEE" w:rsidR="00A2486B" w:rsidRDefault="00121AF5" w:rsidP="00121AF5">
      <w:pPr>
        <w:pStyle w:val="Heading3"/>
      </w:pPr>
      <w:r>
        <w:t xml:space="preserve">4.4.2 </w:t>
      </w:r>
      <w:r w:rsidR="00A2486B">
        <w:t>Treatment strategies</w:t>
      </w:r>
    </w:p>
    <w:p w14:paraId="37EE810E" w14:textId="5BA4E110" w:rsidR="00A2486B" w:rsidRPr="00EE69B1" w:rsidRDefault="00A2486B" w:rsidP="00A2486B">
      <w:pPr>
        <w:rPr>
          <w:rFonts w:ascii="Arial" w:hAnsi="Arial" w:cs="Arial"/>
          <w:sz w:val="20"/>
          <w:szCs w:val="20"/>
        </w:rPr>
      </w:pPr>
      <w:r w:rsidRPr="00EE69B1">
        <w:rPr>
          <w:rFonts w:ascii="Arial" w:hAnsi="Arial" w:cs="Arial"/>
          <w:sz w:val="20"/>
          <w:szCs w:val="20"/>
        </w:rPr>
        <w:t xml:space="preserve">Target trial </w:t>
      </w:r>
      <w:r w:rsidR="0053596C">
        <w:rPr>
          <w:rFonts w:ascii="Arial" w:hAnsi="Arial" w:cs="Arial"/>
          <w:sz w:val="20"/>
          <w:szCs w:val="20"/>
        </w:rPr>
        <w:t>3</w:t>
      </w:r>
      <w:r w:rsidRPr="00EE69B1">
        <w:rPr>
          <w:rFonts w:ascii="Arial" w:hAnsi="Arial" w:cs="Arial"/>
          <w:sz w:val="20"/>
          <w:szCs w:val="20"/>
        </w:rPr>
        <w:t xml:space="preserve"> compared the following treatment strategies: </w:t>
      </w:r>
    </w:p>
    <w:p w14:paraId="180863BB" w14:textId="4C321DEB" w:rsidR="002B19C3" w:rsidRPr="00EE69B1" w:rsidRDefault="00A2486B" w:rsidP="002B19C3">
      <w:pPr>
        <w:rPr>
          <w:rFonts w:ascii="Arial" w:hAnsi="Arial" w:cs="Arial"/>
          <w:sz w:val="20"/>
          <w:szCs w:val="20"/>
        </w:rPr>
      </w:pPr>
      <w:r w:rsidRPr="00EE69B1">
        <w:rPr>
          <w:rFonts w:ascii="Arial" w:hAnsi="Arial" w:cs="Arial"/>
          <w:sz w:val="20"/>
          <w:szCs w:val="20"/>
        </w:rPr>
        <w:t xml:space="preserve">(1) Active: </w:t>
      </w:r>
      <w:r w:rsidR="002B19C3" w:rsidRPr="00EE69B1">
        <w:rPr>
          <w:rFonts w:ascii="Arial" w:hAnsi="Arial" w:cs="Arial"/>
          <w:sz w:val="20"/>
          <w:szCs w:val="20"/>
        </w:rPr>
        <w:t>One azithromycin 250mg tablet three times weekly for patients who weigh 40-79 lbs.</w:t>
      </w:r>
      <w:r w:rsidR="009F41DC">
        <w:rPr>
          <w:rFonts w:ascii="Arial" w:hAnsi="Arial" w:cs="Arial"/>
          <w:sz w:val="20"/>
          <w:szCs w:val="20"/>
        </w:rPr>
        <w:t xml:space="preserve"> </w:t>
      </w:r>
      <w:r w:rsidR="002B19C3" w:rsidRPr="00EE69B1">
        <w:rPr>
          <w:rFonts w:ascii="Arial" w:hAnsi="Arial" w:cs="Arial"/>
          <w:sz w:val="20"/>
          <w:szCs w:val="20"/>
        </w:rPr>
        <w:t xml:space="preserve">Two azithromycin 250mg tablets three times weekly for patients who weigh greater than or equal to 80 lbs. </w:t>
      </w:r>
    </w:p>
    <w:p w14:paraId="628F70DC" w14:textId="09C4CCAB" w:rsidR="00A2486B" w:rsidRPr="00EE69B1" w:rsidRDefault="00A2486B" w:rsidP="00F55BC3">
      <w:pPr>
        <w:rPr>
          <w:rFonts w:ascii="Arial" w:hAnsi="Arial" w:cs="Arial"/>
          <w:sz w:val="20"/>
          <w:szCs w:val="20"/>
        </w:rPr>
      </w:pPr>
      <w:r w:rsidRPr="00EE69B1">
        <w:rPr>
          <w:rFonts w:ascii="Arial" w:hAnsi="Arial" w:cs="Arial"/>
          <w:sz w:val="20"/>
          <w:szCs w:val="20"/>
        </w:rPr>
        <w:t xml:space="preserve">(2) Comparator: </w:t>
      </w:r>
      <w:r w:rsidR="00F55BC3" w:rsidRPr="00EE69B1">
        <w:rPr>
          <w:rFonts w:ascii="Arial" w:hAnsi="Arial" w:cs="Arial"/>
          <w:sz w:val="20"/>
          <w:szCs w:val="20"/>
        </w:rPr>
        <w:t>One placebo pill three times weekly for patients who weigh 40-79 lbs.</w:t>
      </w:r>
      <w:r w:rsidR="009F41DC">
        <w:rPr>
          <w:rFonts w:ascii="Arial" w:hAnsi="Arial" w:cs="Arial"/>
          <w:sz w:val="20"/>
          <w:szCs w:val="20"/>
        </w:rPr>
        <w:t xml:space="preserve"> </w:t>
      </w:r>
      <w:r w:rsidR="00F55BC3" w:rsidRPr="00EE69B1">
        <w:rPr>
          <w:rFonts w:ascii="Arial" w:hAnsi="Arial" w:cs="Arial"/>
          <w:sz w:val="20"/>
          <w:szCs w:val="20"/>
        </w:rPr>
        <w:t>Two placebo pills three times weekly for patients who weigh greater than or equal to 80lbs.</w:t>
      </w:r>
    </w:p>
    <w:p w14:paraId="1AA93D8C" w14:textId="4F5ADCFD" w:rsidR="001E7B0B" w:rsidRPr="00AA62F7" w:rsidRDefault="00EE21F5" w:rsidP="001E7B0B">
      <w:pPr>
        <w:rPr>
          <w:rFonts w:ascii="Arial" w:hAnsi="Arial" w:cs="Arial"/>
          <w:sz w:val="20"/>
          <w:szCs w:val="20"/>
        </w:rPr>
      </w:pPr>
      <w:r w:rsidRPr="00AA62F7">
        <w:rPr>
          <w:rFonts w:ascii="Arial" w:hAnsi="Arial" w:cs="Arial"/>
          <w:sz w:val="20"/>
          <w:szCs w:val="20"/>
        </w:rPr>
        <w:t>We will emulate these using data on treatment prescription</w:t>
      </w:r>
      <w:r>
        <w:rPr>
          <w:rFonts w:ascii="Arial" w:hAnsi="Arial" w:cs="Arial"/>
          <w:sz w:val="20"/>
          <w:szCs w:val="20"/>
        </w:rPr>
        <w:t xml:space="preserve"> (either using prescription dates or data from annual reviews)</w:t>
      </w:r>
      <w:r w:rsidRPr="00AA62F7">
        <w:rPr>
          <w:rFonts w:ascii="Arial" w:hAnsi="Arial" w:cs="Arial"/>
          <w:sz w:val="20"/>
          <w:szCs w:val="20"/>
        </w:rPr>
        <w:t xml:space="preserve">. </w:t>
      </w:r>
      <w:r w:rsidR="001E7B0B" w:rsidRPr="00AA62F7">
        <w:rPr>
          <w:rFonts w:ascii="Arial" w:hAnsi="Arial" w:cs="Arial"/>
          <w:sz w:val="20"/>
          <w:szCs w:val="20"/>
        </w:rPr>
        <w:t xml:space="preserve">The active group will include people </w:t>
      </w:r>
      <w:r w:rsidR="001E7B0B">
        <w:rPr>
          <w:rFonts w:ascii="Arial" w:hAnsi="Arial" w:cs="Arial"/>
          <w:sz w:val="20"/>
          <w:szCs w:val="20"/>
        </w:rPr>
        <w:t xml:space="preserve">who are recorded as taking azithromycin </w:t>
      </w:r>
      <w:r w:rsidR="001E7B0B" w:rsidRPr="00AA62F7">
        <w:rPr>
          <w:rFonts w:ascii="Arial" w:hAnsi="Arial" w:cs="Arial"/>
          <w:sz w:val="20"/>
          <w:szCs w:val="20"/>
        </w:rPr>
        <w:t xml:space="preserve">and the comparator group will include people </w:t>
      </w:r>
      <w:r w:rsidR="001E7B0B">
        <w:rPr>
          <w:rFonts w:ascii="Arial" w:hAnsi="Arial" w:cs="Arial"/>
          <w:sz w:val="20"/>
          <w:szCs w:val="20"/>
        </w:rPr>
        <w:t>who are not recorded as taking azithromycin</w:t>
      </w:r>
      <w:r w:rsidR="009770CD">
        <w:rPr>
          <w:rFonts w:ascii="Arial" w:hAnsi="Arial" w:cs="Arial"/>
          <w:sz w:val="20"/>
          <w:szCs w:val="20"/>
        </w:rPr>
        <w:t xml:space="preserve">. </w:t>
      </w:r>
      <w:r w:rsidR="001E7B0B">
        <w:rPr>
          <w:rFonts w:ascii="Arial" w:hAnsi="Arial" w:cs="Arial"/>
          <w:sz w:val="20"/>
          <w:szCs w:val="20"/>
        </w:rPr>
        <w:t xml:space="preserve"> </w:t>
      </w:r>
    </w:p>
    <w:p w14:paraId="21CD5460" w14:textId="622B5CFA" w:rsidR="00A2486B" w:rsidRDefault="00121AF5" w:rsidP="00121AF5">
      <w:pPr>
        <w:pStyle w:val="Heading3"/>
      </w:pPr>
      <w:r>
        <w:t xml:space="preserve">4.4.3 </w:t>
      </w:r>
      <w:r w:rsidR="00A2486B">
        <w:t>Outcomes and follow-up period</w:t>
      </w:r>
    </w:p>
    <w:p w14:paraId="5D2A9DCC" w14:textId="588B8F76" w:rsidR="00A2486B" w:rsidRPr="00EE69B1" w:rsidRDefault="00A2486B" w:rsidP="00A2486B">
      <w:pPr>
        <w:rPr>
          <w:rFonts w:ascii="Arial" w:hAnsi="Arial" w:cs="Arial"/>
          <w:sz w:val="20"/>
          <w:szCs w:val="20"/>
        </w:rPr>
      </w:pPr>
      <w:r w:rsidRPr="00EE69B1">
        <w:rPr>
          <w:rFonts w:ascii="Arial" w:hAnsi="Arial" w:cs="Arial"/>
          <w:sz w:val="20"/>
          <w:szCs w:val="20"/>
        </w:rPr>
        <w:t xml:space="preserve">Table </w:t>
      </w:r>
      <w:r w:rsidR="00735A03">
        <w:rPr>
          <w:rFonts w:ascii="Arial" w:hAnsi="Arial" w:cs="Arial"/>
          <w:sz w:val="20"/>
          <w:szCs w:val="20"/>
        </w:rPr>
        <w:t>8</w:t>
      </w:r>
      <w:r w:rsidRPr="00EE69B1">
        <w:rPr>
          <w:rFonts w:ascii="Arial" w:hAnsi="Arial" w:cs="Arial"/>
          <w:sz w:val="20"/>
          <w:szCs w:val="20"/>
        </w:rPr>
        <w:t xml:space="preserve"> details the outcomes investigated in target trial </w:t>
      </w:r>
      <w:r w:rsidR="00A331F6">
        <w:rPr>
          <w:rFonts w:ascii="Arial" w:hAnsi="Arial" w:cs="Arial"/>
          <w:sz w:val="20"/>
          <w:szCs w:val="20"/>
        </w:rPr>
        <w:t>3</w:t>
      </w:r>
      <w:r w:rsidRPr="00EE69B1">
        <w:rPr>
          <w:rFonts w:ascii="Arial" w:hAnsi="Arial" w:cs="Arial"/>
          <w:sz w:val="20"/>
          <w:szCs w:val="20"/>
        </w:rPr>
        <w:t xml:space="preserve"> and how we plan to emulate these criteria using the UK CF Registry data. </w:t>
      </w:r>
    </w:p>
    <w:tbl>
      <w:tblPr>
        <w:tblStyle w:val="TableGrid"/>
        <w:tblW w:w="0" w:type="auto"/>
        <w:tblLook w:val="04A0" w:firstRow="1" w:lastRow="0" w:firstColumn="1" w:lastColumn="0" w:noHBand="0" w:noVBand="1"/>
      </w:tblPr>
      <w:tblGrid>
        <w:gridCol w:w="4508"/>
        <w:gridCol w:w="4508"/>
      </w:tblGrid>
      <w:tr w:rsidR="00A2486B" w:rsidRPr="00EE69B1" w14:paraId="2C093683" w14:textId="77777777" w:rsidTr="00C40B76">
        <w:tc>
          <w:tcPr>
            <w:tcW w:w="9016" w:type="dxa"/>
            <w:gridSpan w:val="2"/>
            <w:tcBorders>
              <w:top w:val="nil"/>
              <w:left w:val="nil"/>
              <w:bottom w:val="single" w:sz="4" w:space="0" w:color="auto"/>
              <w:right w:val="nil"/>
            </w:tcBorders>
          </w:tcPr>
          <w:p w14:paraId="46F47A6B" w14:textId="47439B49" w:rsidR="00A2486B" w:rsidRPr="00EE69B1" w:rsidRDefault="00A2486B" w:rsidP="00C40B76">
            <w:pPr>
              <w:rPr>
                <w:rFonts w:ascii="Arial" w:hAnsi="Arial" w:cs="Arial"/>
                <w:sz w:val="20"/>
                <w:szCs w:val="20"/>
              </w:rPr>
            </w:pPr>
            <w:r w:rsidRPr="00EE69B1">
              <w:rPr>
                <w:rFonts w:ascii="Arial" w:hAnsi="Arial" w:cs="Arial"/>
                <w:i/>
                <w:iCs/>
                <w:sz w:val="20"/>
                <w:szCs w:val="20"/>
              </w:rPr>
              <w:t xml:space="preserve">Table </w:t>
            </w:r>
            <w:r w:rsidR="00735A03">
              <w:rPr>
                <w:rFonts w:ascii="Arial" w:hAnsi="Arial" w:cs="Arial"/>
                <w:i/>
                <w:iCs/>
                <w:sz w:val="20"/>
                <w:szCs w:val="20"/>
              </w:rPr>
              <w:t>8</w:t>
            </w:r>
            <w:r w:rsidRPr="00EE69B1">
              <w:rPr>
                <w:rFonts w:ascii="Arial" w:hAnsi="Arial" w:cs="Arial"/>
                <w:i/>
                <w:iCs/>
                <w:sz w:val="20"/>
                <w:szCs w:val="20"/>
              </w:rPr>
              <w:t xml:space="preserve">: </w:t>
            </w:r>
            <w:r w:rsidR="00735A03">
              <w:rPr>
                <w:rFonts w:ascii="Arial" w:hAnsi="Arial" w:cs="Arial"/>
                <w:i/>
                <w:iCs/>
                <w:sz w:val="20"/>
                <w:szCs w:val="20"/>
              </w:rPr>
              <w:t xml:space="preserve">Outcomes </w:t>
            </w:r>
            <w:r w:rsidRPr="00EE69B1">
              <w:rPr>
                <w:rFonts w:ascii="Arial" w:hAnsi="Arial" w:cs="Arial"/>
                <w:i/>
                <w:iCs/>
                <w:sz w:val="20"/>
                <w:szCs w:val="20"/>
              </w:rPr>
              <w:t xml:space="preserve">for target trial </w:t>
            </w:r>
            <w:r w:rsidR="00A331F6">
              <w:rPr>
                <w:rFonts w:ascii="Arial" w:hAnsi="Arial" w:cs="Arial"/>
                <w:i/>
                <w:iCs/>
                <w:sz w:val="20"/>
                <w:szCs w:val="20"/>
              </w:rPr>
              <w:t>3</w:t>
            </w:r>
            <w:r w:rsidRPr="00EE69B1">
              <w:rPr>
                <w:rFonts w:ascii="Arial" w:hAnsi="Arial" w:cs="Arial"/>
                <w:i/>
                <w:iCs/>
                <w:sz w:val="20"/>
                <w:szCs w:val="20"/>
              </w:rPr>
              <w:t xml:space="preserve"> and the associated emulated trial </w:t>
            </w:r>
          </w:p>
        </w:tc>
      </w:tr>
      <w:tr w:rsidR="00726233" w:rsidRPr="00EE69B1" w14:paraId="58E93C4F" w14:textId="77777777" w:rsidTr="00C40B76">
        <w:tc>
          <w:tcPr>
            <w:tcW w:w="4508" w:type="dxa"/>
            <w:tcBorders>
              <w:top w:val="single" w:sz="4" w:space="0" w:color="auto"/>
              <w:left w:val="nil"/>
              <w:bottom w:val="single" w:sz="4" w:space="0" w:color="auto"/>
              <w:right w:val="nil"/>
            </w:tcBorders>
          </w:tcPr>
          <w:p w14:paraId="2F62C955" w14:textId="692C910A" w:rsidR="00726233" w:rsidRPr="00726233" w:rsidRDefault="00726233" w:rsidP="00DD659C">
            <w:pPr>
              <w:rPr>
                <w:rFonts w:ascii="Arial" w:hAnsi="Arial" w:cs="Arial"/>
                <w:b/>
                <w:bCs/>
                <w:sz w:val="20"/>
                <w:szCs w:val="20"/>
              </w:rPr>
            </w:pPr>
            <w:r w:rsidRPr="00726233">
              <w:rPr>
                <w:rFonts w:ascii="Arial" w:hAnsi="Arial" w:cs="Arial"/>
                <w:b/>
                <w:bCs/>
                <w:sz w:val="20"/>
                <w:szCs w:val="20"/>
              </w:rPr>
              <w:t>Target trial</w:t>
            </w:r>
          </w:p>
        </w:tc>
        <w:tc>
          <w:tcPr>
            <w:tcW w:w="4508" w:type="dxa"/>
            <w:tcBorders>
              <w:top w:val="single" w:sz="4" w:space="0" w:color="auto"/>
              <w:left w:val="nil"/>
              <w:bottom w:val="single" w:sz="4" w:space="0" w:color="auto"/>
              <w:right w:val="nil"/>
            </w:tcBorders>
          </w:tcPr>
          <w:p w14:paraId="7BD2969F" w14:textId="29349BFF" w:rsidR="00726233" w:rsidRPr="00726233" w:rsidRDefault="00726233" w:rsidP="00DD659C">
            <w:pPr>
              <w:rPr>
                <w:rFonts w:ascii="Arial" w:hAnsi="Arial" w:cs="Arial"/>
                <w:b/>
                <w:bCs/>
                <w:sz w:val="20"/>
                <w:szCs w:val="20"/>
              </w:rPr>
            </w:pPr>
            <w:r w:rsidRPr="00726233">
              <w:rPr>
                <w:rFonts w:ascii="Arial" w:hAnsi="Arial" w:cs="Arial"/>
                <w:b/>
                <w:bCs/>
                <w:sz w:val="20"/>
                <w:szCs w:val="20"/>
              </w:rPr>
              <w:t>Emulated trial</w:t>
            </w:r>
          </w:p>
        </w:tc>
      </w:tr>
      <w:tr w:rsidR="00DD659C" w:rsidRPr="00EE69B1" w14:paraId="20A83688" w14:textId="77777777" w:rsidTr="00C40B76">
        <w:tc>
          <w:tcPr>
            <w:tcW w:w="4508" w:type="dxa"/>
            <w:tcBorders>
              <w:top w:val="single" w:sz="4" w:space="0" w:color="auto"/>
              <w:left w:val="nil"/>
              <w:bottom w:val="single" w:sz="4" w:space="0" w:color="auto"/>
              <w:right w:val="nil"/>
            </w:tcBorders>
          </w:tcPr>
          <w:p w14:paraId="78DE880B" w14:textId="5FBB9B9E" w:rsidR="00DD659C" w:rsidRPr="00EE69B1" w:rsidRDefault="00DD659C" w:rsidP="00DD659C">
            <w:pPr>
              <w:rPr>
                <w:rFonts w:ascii="Arial" w:hAnsi="Arial" w:cs="Arial"/>
                <w:sz w:val="20"/>
                <w:szCs w:val="20"/>
              </w:rPr>
            </w:pPr>
            <w:r w:rsidRPr="00EE69B1">
              <w:rPr>
                <w:rFonts w:ascii="Arial" w:hAnsi="Arial" w:cs="Arial"/>
                <w:sz w:val="20"/>
                <w:szCs w:val="20"/>
              </w:rPr>
              <w:t>Primary outcome:</w:t>
            </w:r>
          </w:p>
          <w:p w14:paraId="0C16024A" w14:textId="4C1EEA7D" w:rsidR="00DD659C" w:rsidRDefault="00DD659C" w:rsidP="001A3E2E">
            <w:pPr>
              <w:pStyle w:val="ListParagraph"/>
              <w:numPr>
                <w:ilvl w:val="0"/>
                <w:numId w:val="25"/>
              </w:numPr>
              <w:rPr>
                <w:rFonts w:ascii="Arial" w:hAnsi="Arial" w:cs="Arial"/>
                <w:sz w:val="20"/>
                <w:szCs w:val="20"/>
              </w:rPr>
            </w:pPr>
            <w:r w:rsidRPr="001313C7">
              <w:rPr>
                <w:rFonts w:ascii="Arial" w:hAnsi="Arial" w:cs="Arial"/>
                <w:sz w:val="20"/>
                <w:szCs w:val="20"/>
              </w:rPr>
              <w:t>Change in FEV</w:t>
            </w:r>
            <w:r w:rsidR="009770CD" w:rsidRPr="009770CD">
              <w:rPr>
                <w:rFonts w:ascii="Arial" w:hAnsi="Arial" w:cs="Arial"/>
                <w:sz w:val="20"/>
                <w:szCs w:val="20"/>
                <w:vertAlign w:val="subscript"/>
              </w:rPr>
              <w:t>1</w:t>
            </w:r>
            <w:r w:rsidR="009770CD">
              <w:rPr>
                <w:rFonts w:ascii="Arial" w:hAnsi="Arial" w:cs="Arial"/>
                <w:sz w:val="20"/>
                <w:szCs w:val="20"/>
              </w:rPr>
              <w:t>%</w:t>
            </w:r>
            <w:r w:rsidRPr="001313C7">
              <w:rPr>
                <w:rFonts w:ascii="Arial" w:hAnsi="Arial" w:cs="Arial"/>
                <w:sz w:val="20"/>
                <w:szCs w:val="20"/>
              </w:rPr>
              <w:t xml:space="preserve"> from baseline to end of treatment at day 168. </w:t>
            </w:r>
          </w:p>
          <w:p w14:paraId="3DA1D3C0" w14:textId="77777777" w:rsidR="001313C7" w:rsidRPr="001313C7" w:rsidRDefault="001313C7" w:rsidP="001313C7">
            <w:pPr>
              <w:pStyle w:val="ListParagraph"/>
              <w:ind w:left="360"/>
              <w:rPr>
                <w:rFonts w:ascii="Arial" w:hAnsi="Arial" w:cs="Arial"/>
                <w:sz w:val="20"/>
                <w:szCs w:val="20"/>
              </w:rPr>
            </w:pPr>
          </w:p>
          <w:p w14:paraId="436280C3" w14:textId="3C451105" w:rsidR="00DD659C" w:rsidRPr="00EE69B1" w:rsidRDefault="00DD659C" w:rsidP="00DD659C">
            <w:pPr>
              <w:rPr>
                <w:rFonts w:ascii="Arial" w:hAnsi="Arial" w:cs="Arial"/>
                <w:sz w:val="20"/>
                <w:szCs w:val="20"/>
              </w:rPr>
            </w:pPr>
            <w:r w:rsidRPr="00EE69B1">
              <w:rPr>
                <w:rFonts w:ascii="Arial" w:hAnsi="Arial" w:cs="Arial"/>
                <w:sz w:val="20"/>
                <w:szCs w:val="20"/>
              </w:rPr>
              <w:t>Secondary outcomes:</w:t>
            </w:r>
          </w:p>
          <w:p w14:paraId="34F2954D" w14:textId="2E10E9C8" w:rsidR="00DD659C" w:rsidRPr="001313C7" w:rsidRDefault="00DD659C" w:rsidP="001A3E2E">
            <w:pPr>
              <w:pStyle w:val="ListParagraph"/>
              <w:numPr>
                <w:ilvl w:val="0"/>
                <w:numId w:val="17"/>
              </w:numPr>
              <w:rPr>
                <w:rFonts w:ascii="Arial" w:hAnsi="Arial" w:cs="Arial"/>
                <w:sz w:val="20"/>
                <w:szCs w:val="20"/>
              </w:rPr>
            </w:pPr>
            <w:r w:rsidRPr="001313C7">
              <w:rPr>
                <w:rFonts w:ascii="Arial" w:hAnsi="Arial" w:cs="Arial"/>
                <w:sz w:val="20"/>
                <w:szCs w:val="20"/>
              </w:rPr>
              <w:t>Additional pulmonary function end points</w:t>
            </w:r>
          </w:p>
          <w:p w14:paraId="59568A5B" w14:textId="77777777" w:rsidR="00DD659C" w:rsidRPr="00EE69B1" w:rsidRDefault="00DD659C" w:rsidP="001A3E2E">
            <w:pPr>
              <w:pStyle w:val="ListParagraph"/>
              <w:numPr>
                <w:ilvl w:val="0"/>
                <w:numId w:val="17"/>
              </w:numPr>
              <w:rPr>
                <w:rFonts w:ascii="Arial" w:hAnsi="Arial" w:cs="Arial"/>
                <w:sz w:val="20"/>
                <w:szCs w:val="20"/>
              </w:rPr>
            </w:pPr>
            <w:r w:rsidRPr="00EE69B1">
              <w:rPr>
                <w:rFonts w:ascii="Arial" w:hAnsi="Arial" w:cs="Arial"/>
                <w:sz w:val="20"/>
                <w:szCs w:val="20"/>
              </w:rPr>
              <w:t>Pulmonary exacerbations</w:t>
            </w:r>
          </w:p>
          <w:p w14:paraId="6806A7A9" w14:textId="77777777" w:rsidR="00DD659C" w:rsidRPr="00EE69B1" w:rsidRDefault="00DD659C" w:rsidP="001A3E2E">
            <w:pPr>
              <w:pStyle w:val="ListParagraph"/>
              <w:numPr>
                <w:ilvl w:val="0"/>
                <w:numId w:val="17"/>
              </w:numPr>
              <w:rPr>
                <w:rFonts w:ascii="Arial" w:hAnsi="Arial" w:cs="Arial"/>
                <w:sz w:val="20"/>
                <w:szCs w:val="20"/>
              </w:rPr>
            </w:pPr>
            <w:r w:rsidRPr="00EE69B1">
              <w:rPr>
                <w:rFonts w:ascii="Arial" w:hAnsi="Arial" w:cs="Arial"/>
                <w:sz w:val="20"/>
                <w:szCs w:val="20"/>
              </w:rPr>
              <w:t>Changes in weight and height</w:t>
            </w:r>
          </w:p>
          <w:p w14:paraId="625B0018" w14:textId="77777777" w:rsidR="00DD659C" w:rsidRPr="00EE69B1" w:rsidRDefault="00DD659C" w:rsidP="001A3E2E">
            <w:pPr>
              <w:pStyle w:val="ListParagraph"/>
              <w:numPr>
                <w:ilvl w:val="0"/>
                <w:numId w:val="17"/>
              </w:numPr>
              <w:rPr>
                <w:rFonts w:ascii="Arial" w:hAnsi="Arial" w:cs="Arial"/>
                <w:sz w:val="20"/>
                <w:szCs w:val="20"/>
              </w:rPr>
            </w:pPr>
            <w:r w:rsidRPr="00EE69B1">
              <w:rPr>
                <w:rFonts w:ascii="Arial" w:hAnsi="Arial" w:cs="Arial"/>
                <w:sz w:val="20"/>
                <w:szCs w:val="20"/>
              </w:rPr>
              <w:t>Use of new antibiotics</w:t>
            </w:r>
          </w:p>
          <w:p w14:paraId="61DF83D7" w14:textId="77777777" w:rsidR="001313C7" w:rsidRDefault="00DD659C" w:rsidP="001A3E2E">
            <w:pPr>
              <w:pStyle w:val="ListParagraph"/>
              <w:numPr>
                <w:ilvl w:val="0"/>
                <w:numId w:val="17"/>
              </w:numPr>
              <w:rPr>
                <w:rFonts w:ascii="Arial" w:hAnsi="Arial" w:cs="Arial"/>
                <w:sz w:val="20"/>
                <w:szCs w:val="20"/>
              </w:rPr>
            </w:pPr>
            <w:r w:rsidRPr="00EE69B1">
              <w:rPr>
                <w:rFonts w:ascii="Arial" w:hAnsi="Arial" w:cs="Arial"/>
                <w:sz w:val="20"/>
                <w:szCs w:val="20"/>
              </w:rPr>
              <w:t>Hospitalisations</w:t>
            </w:r>
          </w:p>
          <w:p w14:paraId="19576CE2" w14:textId="5B6236DC" w:rsidR="00DD659C" w:rsidRPr="001313C7" w:rsidRDefault="00DD659C" w:rsidP="001A3E2E">
            <w:pPr>
              <w:pStyle w:val="ListParagraph"/>
              <w:numPr>
                <w:ilvl w:val="0"/>
                <w:numId w:val="17"/>
              </w:numPr>
              <w:rPr>
                <w:rFonts w:ascii="Arial" w:hAnsi="Arial" w:cs="Arial"/>
                <w:sz w:val="20"/>
                <w:szCs w:val="20"/>
              </w:rPr>
            </w:pPr>
            <w:r w:rsidRPr="001313C7">
              <w:rPr>
                <w:rFonts w:ascii="Arial" w:hAnsi="Arial" w:cs="Arial"/>
                <w:sz w:val="20"/>
                <w:szCs w:val="20"/>
              </w:rPr>
              <w:t xml:space="preserve">Changes in microbiology </w:t>
            </w:r>
          </w:p>
        </w:tc>
        <w:tc>
          <w:tcPr>
            <w:tcW w:w="4508" w:type="dxa"/>
            <w:tcBorders>
              <w:top w:val="single" w:sz="4" w:space="0" w:color="auto"/>
              <w:left w:val="nil"/>
              <w:bottom w:val="single" w:sz="4" w:space="0" w:color="auto"/>
              <w:right w:val="nil"/>
            </w:tcBorders>
          </w:tcPr>
          <w:p w14:paraId="0477B8C1" w14:textId="77777777" w:rsidR="001313C7" w:rsidRDefault="00DD659C" w:rsidP="00DD659C">
            <w:pPr>
              <w:rPr>
                <w:rFonts w:ascii="Arial" w:hAnsi="Arial" w:cs="Arial"/>
                <w:sz w:val="20"/>
                <w:szCs w:val="20"/>
              </w:rPr>
            </w:pPr>
            <w:r w:rsidRPr="00EE69B1">
              <w:rPr>
                <w:rFonts w:ascii="Arial" w:hAnsi="Arial" w:cs="Arial"/>
                <w:sz w:val="20"/>
                <w:szCs w:val="20"/>
              </w:rPr>
              <w:t xml:space="preserve">Primary outcome: </w:t>
            </w:r>
          </w:p>
          <w:p w14:paraId="053E8BFE" w14:textId="34717CF5" w:rsidR="00DD659C" w:rsidRPr="001313C7" w:rsidRDefault="001313C7" w:rsidP="001A3E2E">
            <w:pPr>
              <w:pStyle w:val="ListParagraph"/>
              <w:numPr>
                <w:ilvl w:val="0"/>
                <w:numId w:val="26"/>
              </w:numPr>
              <w:rPr>
                <w:rFonts w:ascii="Arial" w:hAnsi="Arial" w:cs="Arial"/>
                <w:sz w:val="20"/>
                <w:szCs w:val="20"/>
              </w:rPr>
            </w:pPr>
            <w:r>
              <w:rPr>
                <w:rFonts w:ascii="Arial" w:hAnsi="Arial" w:cs="Arial"/>
                <w:sz w:val="20"/>
                <w:szCs w:val="20"/>
              </w:rPr>
              <w:t>S</w:t>
            </w:r>
            <w:r w:rsidR="00DD659C" w:rsidRPr="001313C7">
              <w:rPr>
                <w:rFonts w:ascii="Arial" w:hAnsi="Arial" w:cs="Arial"/>
                <w:sz w:val="20"/>
                <w:szCs w:val="20"/>
              </w:rPr>
              <w:t>ame as in target trial</w:t>
            </w:r>
            <w:r>
              <w:rPr>
                <w:rFonts w:ascii="Arial" w:hAnsi="Arial" w:cs="Arial"/>
                <w:sz w:val="20"/>
                <w:szCs w:val="20"/>
              </w:rPr>
              <w:t>.</w:t>
            </w:r>
          </w:p>
          <w:p w14:paraId="4B8D3EC7" w14:textId="77777777" w:rsidR="00DD659C" w:rsidRDefault="00DD659C" w:rsidP="00DD659C">
            <w:pPr>
              <w:rPr>
                <w:rFonts w:ascii="Arial" w:hAnsi="Arial" w:cs="Arial"/>
                <w:sz w:val="20"/>
                <w:szCs w:val="20"/>
              </w:rPr>
            </w:pPr>
          </w:p>
          <w:p w14:paraId="2C4B85C2" w14:textId="77777777" w:rsidR="001313C7" w:rsidRPr="00EE69B1" w:rsidRDefault="001313C7" w:rsidP="00DD659C">
            <w:pPr>
              <w:rPr>
                <w:rFonts w:ascii="Arial" w:hAnsi="Arial" w:cs="Arial"/>
                <w:sz w:val="20"/>
                <w:szCs w:val="20"/>
              </w:rPr>
            </w:pPr>
          </w:p>
          <w:p w14:paraId="04AE3848" w14:textId="77777777" w:rsidR="00DD659C" w:rsidRPr="00EE69B1" w:rsidRDefault="00DD659C" w:rsidP="00DD659C">
            <w:pPr>
              <w:rPr>
                <w:rFonts w:ascii="Arial" w:hAnsi="Arial" w:cs="Arial"/>
                <w:sz w:val="20"/>
                <w:szCs w:val="20"/>
              </w:rPr>
            </w:pPr>
            <w:r w:rsidRPr="00EE69B1">
              <w:rPr>
                <w:rFonts w:ascii="Arial" w:hAnsi="Arial" w:cs="Arial"/>
                <w:sz w:val="20"/>
                <w:szCs w:val="20"/>
              </w:rPr>
              <w:t>Secondary outcomes:</w:t>
            </w:r>
          </w:p>
          <w:p w14:paraId="275C39BE" w14:textId="740DEE73" w:rsidR="001313C7" w:rsidRDefault="00DD659C" w:rsidP="001A3E2E">
            <w:pPr>
              <w:pStyle w:val="ListParagraph"/>
              <w:numPr>
                <w:ilvl w:val="0"/>
                <w:numId w:val="27"/>
              </w:numPr>
              <w:rPr>
                <w:rFonts w:ascii="Arial" w:hAnsi="Arial" w:cs="Arial"/>
                <w:sz w:val="20"/>
                <w:szCs w:val="20"/>
              </w:rPr>
            </w:pPr>
            <w:r w:rsidRPr="001313C7">
              <w:rPr>
                <w:rFonts w:ascii="Arial" w:hAnsi="Arial" w:cs="Arial"/>
                <w:sz w:val="20"/>
                <w:szCs w:val="20"/>
              </w:rPr>
              <w:t>FVC</w:t>
            </w:r>
            <w:r w:rsidR="001313C7" w:rsidRPr="001313C7">
              <w:rPr>
                <w:rFonts w:ascii="Arial" w:hAnsi="Arial" w:cs="Arial"/>
                <w:sz w:val="20"/>
                <w:szCs w:val="20"/>
                <w:vertAlign w:val="subscript"/>
              </w:rPr>
              <w:t>1</w:t>
            </w:r>
            <w:r w:rsidR="001313C7">
              <w:rPr>
                <w:rFonts w:ascii="Arial" w:hAnsi="Arial" w:cs="Arial"/>
                <w:sz w:val="20"/>
                <w:szCs w:val="20"/>
              </w:rPr>
              <w:t xml:space="preserve">%. </w:t>
            </w:r>
          </w:p>
          <w:p w14:paraId="6C509372" w14:textId="689D26A4" w:rsidR="001313C7" w:rsidRDefault="001313C7" w:rsidP="001A3E2E">
            <w:pPr>
              <w:pStyle w:val="ListParagraph"/>
              <w:numPr>
                <w:ilvl w:val="0"/>
                <w:numId w:val="27"/>
              </w:numPr>
              <w:rPr>
                <w:rFonts w:ascii="Arial" w:hAnsi="Arial" w:cs="Arial"/>
                <w:sz w:val="20"/>
                <w:szCs w:val="20"/>
              </w:rPr>
            </w:pPr>
            <w:r>
              <w:rPr>
                <w:rFonts w:ascii="Arial" w:hAnsi="Arial" w:cs="Arial"/>
                <w:sz w:val="20"/>
                <w:szCs w:val="20"/>
              </w:rPr>
              <w:t xml:space="preserve">Unable to emulate. </w:t>
            </w:r>
          </w:p>
          <w:p w14:paraId="3E453561" w14:textId="6EA90C36" w:rsidR="001313C7" w:rsidRDefault="001313C7" w:rsidP="001A3E2E">
            <w:pPr>
              <w:pStyle w:val="ListParagraph"/>
              <w:numPr>
                <w:ilvl w:val="0"/>
                <w:numId w:val="27"/>
              </w:numPr>
              <w:rPr>
                <w:rFonts w:ascii="Arial" w:hAnsi="Arial" w:cs="Arial"/>
                <w:sz w:val="20"/>
                <w:szCs w:val="20"/>
              </w:rPr>
            </w:pPr>
            <w:r>
              <w:rPr>
                <w:rFonts w:ascii="Arial" w:hAnsi="Arial" w:cs="Arial"/>
                <w:sz w:val="20"/>
                <w:szCs w:val="20"/>
              </w:rPr>
              <w:t xml:space="preserve">Same as target trial. </w:t>
            </w:r>
          </w:p>
          <w:p w14:paraId="20B8912C" w14:textId="3B866644" w:rsidR="001313C7" w:rsidRDefault="001313C7" w:rsidP="001A3E2E">
            <w:pPr>
              <w:pStyle w:val="ListParagraph"/>
              <w:numPr>
                <w:ilvl w:val="0"/>
                <w:numId w:val="27"/>
              </w:numPr>
              <w:rPr>
                <w:rFonts w:ascii="Arial" w:hAnsi="Arial" w:cs="Arial"/>
                <w:sz w:val="20"/>
                <w:szCs w:val="20"/>
              </w:rPr>
            </w:pPr>
            <w:r>
              <w:rPr>
                <w:rFonts w:ascii="Arial" w:hAnsi="Arial" w:cs="Arial"/>
                <w:sz w:val="20"/>
                <w:szCs w:val="20"/>
              </w:rPr>
              <w:t xml:space="preserve">Same as target trial. </w:t>
            </w:r>
          </w:p>
          <w:p w14:paraId="5B980824" w14:textId="047B5A2F" w:rsidR="001313C7" w:rsidRDefault="001313C7" w:rsidP="001A3E2E">
            <w:pPr>
              <w:pStyle w:val="ListParagraph"/>
              <w:numPr>
                <w:ilvl w:val="0"/>
                <w:numId w:val="27"/>
              </w:numPr>
              <w:rPr>
                <w:rFonts w:ascii="Arial" w:hAnsi="Arial" w:cs="Arial"/>
                <w:sz w:val="20"/>
                <w:szCs w:val="20"/>
              </w:rPr>
            </w:pPr>
            <w:r>
              <w:rPr>
                <w:rFonts w:ascii="Arial" w:hAnsi="Arial" w:cs="Arial"/>
                <w:sz w:val="20"/>
                <w:szCs w:val="20"/>
              </w:rPr>
              <w:t xml:space="preserve">Same as target trial. </w:t>
            </w:r>
          </w:p>
          <w:p w14:paraId="55EA82C9" w14:textId="7BE7D409" w:rsidR="00DD659C" w:rsidRPr="001313C7" w:rsidRDefault="001313C7" w:rsidP="001A3E2E">
            <w:pPr>
              <w:pStyle w:val="ListParagraph"/>
              <w:numPr>
                <w:ilvl w:val="0"/>
                <w:numId w:val="27"/>
              </w:numPr>
              <w:rPr>
                <w:rFonts w:ascii="Arial" w:hAnsi="Arial" w:cs="Arial"/>
                <w:sz w:val="20"/>
                <w:szCs w:val="20"/>
              </w:rPr>
            </w:pPr>
            <w:r>
              <w:rPr>
                <w:rFonts w:ascii="Arial" w:hAnsi="Arial" w:cs="Arial"/>
                <w:sz w:val="20"/>
                <w:szCs w:val="20"/>
              </w:rPr>
              <w:t xml:space="preserve">Same as target trial. </w:t>
            </w:r>
          </w:p>
        </w:tc>
      </w:tr>
    </w:tbl>
    <w:p w14:paraId="026DC45B" w14:textId="77777777" w:rsidR="00A2486B" w:rsidRDefault="00A2486B" w:rsidP="00A2486B">
      <w:pPr>
        <w:rPr>
          <w:rFonts w:ascii="Arial" w:hAnsi="Arial" w:cs="Arial"/>
          <w:sz w:val="20"/>
          <w:szCs w:val="20"/>
        </w:rPr>
      </w:pPr>
    </w:p>
    <w:p w14:paraId="40152114" w14:textId="6007E295" w:rsidR="007416B1" w:rsidRDefault="001313C7" w:rsidP="007416B1">
      <w:pPr>
        <w:pStyle w:val="Heading2"/>
        <w:numPr>
          <w:ilvl w:val="1"/>
          <w:numId w:val="7"/>
        </w:numPr>
      </w:pPr>
      <w:r>
        <w:t xml:space="preserve">Target and emulated trial 4: Eligibility criteria, treatment strategies and outcomes </w:t>
      </w:r>
    </w:p>
    <w:p w14:paraId="4B42FF44" w14:textId="7D02926D" w:rsidR="007416B1" w:rsidRPr="007416B1" w:rsidRDefault="007416B1" w:rsidP="007416B1">
      <w:pPr>
        <w:rPr>
          <w:rFonts w:ascii="Arial" w:hAnsi="Arial" w:cs="Arial"/>
          <w:sz w:val="20"/>
          <w:szCs w:val="20"/>
        </w:rPr>
      </w:pPr>
      <w:r w:rsidRPr="007416B1">
        <w:rPr>
          <w:rFonts w:ascii="Arial" w:hAnsi="Arial" w:cs="Arial"/>
          <w:sz w:val="20"/>
          <w:szCs w:val="20"/>
        </w:rPr>
        <w:t xml:space="preserve">In this section, we provide details on how target trial </w:t>
      </w:r>
      <w:r>
        <w:rPr>
          <w:rFonts w:ascii="Arial" w:hAnsi="Arial" w:cs="Arial"/>
          <w:sz w:val="20"/>
          <w:szCs w:val="20"/>
        </w:rPr>
        <w:t>4</w:t>
      </w:r>
      <w:r w:rsidRPr="007416B1">
        <w:rPr>
          <w:rFonts w:ascii="Arial" w:hAnsi="Arial" w:cs="Arial"/>
          <w:sz w:val="20"/>
          <w:szCs w:val="20"/>
        </w:rPr>
        <w:t xml:space="preserve"> will be emulated using the UK CF Registry data. Section 4.</w:t>
      </w:r>
      <w:r>
        <w:rPr>
          <w:rFonts w:ascii="Arial" w:hAnsi="Arial" w:cs="Arial"/>
          <w:sz w:val="20"/>
          <w:szCs w:val="20"/>
        </w:rPr>
        <w:t>5</w:t>
      </w:r>
      <w:r w:rsidRPr="007416B1">
        <w:rPr>
          <w:rFonts w:ascii="Arial" w:hAnsi="Arial" w:cs="Arial"/>
          <w:sz w:val="20"/>
          <w:szCs w:val="20"/>
        </w:rPr>
        <w:t>.1 provides details on the eligibility criteria; section 4.</w:t>
      </w:r>
      <w:r>
        <w:rPr>
          <w:rFonts w:ascii="Arial" w:hAnsi="Arial" w:cs="Arial"/>
          <w:sz w:val="20"/>
          <w:szCs w:val="20"/>
        </w:rPr>
        <w:t>5</w:t>
      </w:r>
      <w:r w:rsidRPr="007416B1">
        <w:rPr>
          <w:rFonts w:ascii="Arial" w:hAnsi="Arial" w:cs="Arial"/>
          <w:sz w:val="20"/>
          <w:szCs w:val="20"/>
        </w:rPr>
        <w:t>.2 describes the treatment strategies and section 4.</w:t>
      </w:r>
      <w:r>
        <w:rPr>
          <w:rFonts w:ascii="Arial" w:hAnsi="Arial" w:cs="Arial"/>
          <w:sz w:val="20"/>
          <w:szCs w:val="20"/>
        </w:rPr>
        <w:t>5</w:t>
      </w:r>
      <w:r w:rsidRPr="007416B1">
        <w:rPr>
          <w:rFonts w:ascii="Arial" w:hAnsi="Arial" w:cs="Arial"/>
          <w:sz w:val="20"/>
          <w:szCs w:val="20"/>
        </w:rPr>
        <w:t xml:space="preserve">.3 lists the primary and secondary outcomes. </w:t>
      </w:r>
    </w:p>
    <w:p w14:paraId="3E4A80FB" w14:textId="77777777" w:rsidR="007416B1" w:rsidRPr="007416B1" w:rsidRDefault="007416B1" w:rsidP="007416B1"/>
    <w:p w14:paraId="2E7F0D2F" w14:textId="063CA9A9" w:rsidR="007D689E" w:rsidRPr="00EE69B1" w:rsidRDefault="00121AF5" w:rsidP="00121AF5">
      <w:pPr>
        <w:pStyle w:val="Heading3"/>
      </w:pPr>
      <w:r>
        <w:t xml:space="preserve">4.5.1 </w:t>
      </w:r>
      <w:r w:rsidR="007D689E" w:rsidRPr="00EE69B1">
        <w:t xml:space="preserve">Eligibility criteria </w:t>
      </w:r>
    </w:p>
    <w:p w14:paraId="5B299974" w14:textId="7E63E2E6" w:rsidR="007D689E" w:rsidRPr="00EE69B1" w:rsidRDefault="007D689E" w:rsidP="007D689E">
      <w:pPr>
        <w:rPr>
          <w:rFonts w:ascii="Arial" w:hAnsi="Arial" w:cs="Arial"/>
          <w:sz w:val="20"/>
          <w:szCs w:val="20"/>
        </w:rPr>
      </w:pPr>
      <w:r w:rsidRPr="00EE69B1">
        <w:rPr>
          <w:rFonts w:ascii="Arial" w:hAnsi="Arial" w:cs="Arial"/>
          <w:sz w:val="20"/>
          <w:szCs w:val="20"/>
        </w:rPr>
        <w:t xml:space="preserve">Table </w:t>
      </w:r>
      <w:r w:rsidR="00735A03">
        <w:rPr>
          <w:rFonts w:ascii="Arial" w:hAnsi="Arial" w:cs="Arial"/>
          <w:sz w:val="20"/>
          <w:szCs w:val="20"/>
        </w:rPr>
        <w:t>9</w:t>
      </w:r>
      <w:r w:rsidRPr="00EE69B1">
        <w:rPr>
          <w:rFonts w:ascii="Arial" w:hAnsi="Arial" w:cs="Arial"/>
          <w:sz w:val="20"/>
          <w:szCs w:val="20"/>
        </w:rPr>
        <w:t xml:space="preserve"> details the inclusion and exclusion criteria used in target trial </w:t>
      </w:r>
      <w:r w:rsidR="00A331F6">
        <w:rPr>
          <w:rFonts w:ascii="Arial" w:hAnsi="Arial" w:cs="Arial"/>
          <w:sz w:val="20"/>
          <w:szCs w:val="20"/>
        </w:rPr>
        <w:t>4</w:t>
      </w:r>
      <w:r w:rsidRPr="00EE69B1">
        <w:rPr>
          <w:rFonts w:ascii="Arial" w:hAnsi="Arial" w:cs="Arial"/>
          <w:sz w:val="20"/>
          <w:szCs w:val="20"/>
        </w:rPr>
        <w:t xml:space="preserve"> and how we plan to emulate these criteria using the UK CF Registry data.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D689E" w:rsidRPr="00EE69B1" w14:paraId="654FAF24" w14:textId="77777777" w:rsidTr="00C40B76">
        <w:tc>
          <w:tcPr>
            <w:tcW w:w="9016" w:type="dxa"/>
            <w:gridSpan w:val="2"/>
            <w:tcBorders>
              <w:top w:val="nil"/>
              <w:bottom w:val="single" w:sz="4" w:space="0" w:color="auto"/>
            </w:tcBorders>
          </w:tcPr>
          <w:p w14:paraId="65F0E35F" w14:textId="1F868F28" w:rsidR="007D689E" w:rsidRPr="00EE69B1" w:rsidRDefault="007D689E" w:rsidP="00C40B76">
            <w:pPr>
              <w:rPr>
                <w:rFonts w:ascii="Arial" w:hAnsi="Arial" w:cs="Arial"/>
                <w:i/>
                <w:iCs/>
                <w:sz w:val="20"/>
                <w:szCs w:val="20"/>
              </w:rPr>
            </w:pPr>
            <w:r w:rsidRPr="00EE69B1">
              <w:rPr>
                <w:rFonts w:ascii="Arial" w:hAnsi="Arial" w:cs="Arial"/>
                <w:i/>
                <w:iCs/>
                <w:sz w:val="20"/>
                <w:szCs w:val="20"/>
              </w:rPr>
              <w:lastRenderedPageBreak/>
              <w:t xml:space="preserve">Table </w:t>
            </w:r>
            <w:r w:rsidR="00735A03">
              <w:rPr>
                <w:rFonts w:ascii="Arial" w:hAnsi="Arial" w:cs="Arial"/>
                <w:i/>
                <w:iCs/>
                <w:sz w:val="20"/>
                <w:szCs w:val="20"/>
              </w:rPr>
              <w:t>9</w:t>
            </w:r>
            <w:r w:rsidRPr="00EE69B1">
              <w:rPr>
                <w:rFonts w:ascii="Arial" w:hAnsi="Arial" w:cs="Arial"/>
                <w:i/>
                <w:iCs/>
                <w:sz w:val="20"/>
                <w:szCs w:val="20"/>
              </w:rPr>
              <w:t xml:space="preserve">: Eligibility criteria for target trial </w:t>
            </w:r>
            <w:r w:rsidR="00A331F6">
              <w:rPr>
                <w:rFonts w:ascii="Arial" w:hAnsi="Arial" w:cs="Arial"/>
                <w:i/>
                <w:iCs/>
                <w:sz w:val="20"/>
                <w:szCs w:val="20"/>
              </w:rPr>
              <w:t>4</w:t>
            </w:r>
            <w:r w:rsidRPr="00EE69B1">
              <w:rPr>
                <w:rFonts w:ascii="Arial" w:hAnsi="Arial" w:cs="Arial"/>
                <w:i/>
                <w:iCs/>
                <w:sz w:val="20"/>
                <w:szCs w:val="20"/>
              </w:rPr>
              <w:t xml:space="preserve"> and the associated emulated trial </w:t>
            </w:r>
          </w:p>
        </w:tc>
      </w:tr>
      <w:tr w:rsidR="00726233" w:rsidRPr="00EE69B1" w14:paraId="25D608CB" w14:textId="77777777" w:rsidTr="00C40B76">
        <w:tc>
          <w:tcPr>
            <w:tcW w:w="4508" w:type="dxa"/>
            <w:tcBorders>
              <w:top w:val="single" w:sz="4" w:space="0" w:color="auto"/>
            </w:tcBorders>
          </w:tcPr>
          <w:p w14:paraId="35EA41F7" w14:textId="05C6B30F" w:rsidR="00726233" w:rsidRPr="00726233" w:rsidRDefault="00726233" w:rsidP="00C40B76">
            <w:pPr>
              <w:rPr>
                <w:rFonts w:ascii="Arial" w:hAnsi="Arial" w:cs="Arial"/>
                <w:b/>
                <w:bCs/>
                <w:sz w:val="20"/>
                <w:szCs w:val="20"/>
              </w:rPr>
            </w:pPr>
            <w:r w:rsidRPr="00726233">
              <w:rPr>
                <w:rFonts w:ascii="Arial" w:hAnsi="Arial" w:cs="Arial"/>
                <w:b/>
                <w:bCs/>
                <w:sz w:val="20"/>
                <w:szCs w:val="20"/>
              </w:rPr>
              <w:t>Target trial</w:t>
            </w:r>
          </w:p>
        </w:tc>
        <w:tc>
          <w:tcPr>
            <w:tcW w:w="4508" w:type="dxa"/>
            <w:tcBorders>
              <w:top w:val="single" w:sz="4" w:space="0" w:color="auto"/>
            </w:tcBorders>
          </w:tcPr>
          <w:p w14:paraId="76F165A9" w14:textId="0432965F" w:rsidR="00726233" w:rsidRPr="00726233" w:rsidRDefault="00726233" w:rsidP="004C45CA">
            <w:pPr>
              <w:rPr>
                <w:rFonts w:ascii="Arial" w:hAnsi="Arial" w:cs="Arial"/>
                <w:b/>
                <w:bCs/>
                <w:sz w:val="20"/>
                <w:szCs w:val="20"/>
              </w:rPr>
            </w:pPr>
            <w:r w:rsidRPr="00726233">
              <w:rPr>
                <w:rFonts w:ascii="Arial" w:hAnsi="Arial" w:cs="Arial"/>
                <w:b/>
                <w:bCs/>
                <w:sz w:val="20"/>
                <w:szCs w:val="20"/>
              </w:rPr>
              <w:t>Emulated trial</w:t>
            </w:r>
          </w:p>
        </w:tc>
      </w:tr>
      <w:tr w:rsidR="007D689E" w:rsidRPr="00EE69B1" w14:paraId="26129A7F" w14:textId="77777777" w:rsidTr="00C40B76">
        <w:tc>
          <w:tcPr>
            <w:tcW w:w="4508" w:type="dxa"/>
            <w:tcBorders>
              <w:top w:val="single" w:sz="4" w:space="0" w:color="auto"/>
            </w:tcBorders>
          </w:tcPr>
          <w:p w14:paraId="3CFEED0B" w14:textId="395F4021" w:rsidR="007D689E" w:rsidRPr="00EE69B1" w:rsidRDefault="007D689E" w:rsidP="00C40B76">
            <w:pPr>
              <w:rPr>
                <w:rFonts w:ascii="Arial" w:hAnsi="Arial" w:cs="Arial"/>
                <w:sz w:val="20"/>
                <w:szCs w:val="20"/>
              </w:rPr>
            </w:pPr>
            <w:r w:rsidRPr="00EE69B1">
              <w:rPr>
                <w:rFonts w:ascii="Arial" w:hAnsi="Arial" w:cs="Arial"/>
                <w:sz w:val="20"/>
                <w:szCs w:val="20"/>
              </w:rPr>
              <w:t xml:space="preserve">Inclusion </w:t>
            </w:r>
            <w:r w:rsidR="00192FE2">
              <w:rPr>
                <w:rFonts w:ascii="Arial" w:hAnsi="Arial" w:cs="Arial"/>
                <w:sz w:val="20"/>
                <w:szCs w:val="20"/>
              </w:rPr>
              <w:t>c</w:t>
            </w:r>
            <w:r w:rsidRPr="00EE69B1">
              <w:rPr>
                <w:rFonts w:ascii="Arial" w:hAnsi="Arial" w:cs="Arial"/>
                <w:sz w:val="20"/>
                <w:szCs w:val="20"/>
              </w:rPr>
              <w:t>riteria:</w:t>
            </w:r>
          </w:p>
          <w:p w14:paraId="5A3CE8E4" w14:textId="77777777" w:rsidR="004C45CA" w:rsidRPr="00EE69B1" w:rsidRDefault="004C45CA" w:rsidP="001A3E2E">
            <w:pPr>
              <w:pStyle w:val="ListParagraph"/>
              <w:numPr>
                <w:ilvl w:val="0"/>
                <w:numId w:val="28"/>
              </w:numPr>
              <w:rPr>
                <w:rFonts w:ascii="Arial" w:hAnsi="Arial" w:cs="Arial"/>
                <w:sz w:val="20"/>
                <w:szCs w:val="20"/>
              </w:rPr>
            </w:pPr>
            <w:r w:rsidRPr="00EE69B1">
              <w:rPr>
                <w:rFonts w:ascii="Arial" w:hAnsi="Arial" w:cs="Arial"/>
                <w:sz w:val="20"/>
                <w:szCs w:val="20"/>
              </w:rPr>
              <w:t>Males or female aged 6 years and above</w:t>
            </w:r>
            <w:r>
              <w:rPr>
                <w:rFonts w:ascii="Arial" w:hAnsi="Arial" w:cs="Arial"/>
                <w:sz w:val="20"/>
                <w:szCs w:val="20"/>
              </w:rPr>
              <w:t>.</w:t>
            </w:r>
          </w:p>
          <w:p w14:paraId="41FE45C0" w14:textId="3D76FD69" w:rsidR="004D3F81" w:rsidRDefault="00E127E0" w:rsidP="001A3E2E">
            <w:pPr>
              <w:pStyle w:val="ListParagraph"/>
              <w:numPr>
                <w:ilvl w:val="0"/>
                <w:numId w:val="28"/>
              </w:numPr>
              <w:rPr>
                <w:rFonts w:ascii="Arial" w:hAnsi="Arial" w:cs="Arial"/>
                <w:sz w:val="20"/>
                <w:szCs w:val="20"/>
              </w:rPr>
            </w:pPr>
            <w:r>
              <w:rPr>
                <w:rFonts w:ascii="Arial" w:hAnsi="Arial" w:cs="Arial"/>
                <w:sz w:val="20"/>
                <w:szCs w:val="20"/>
              </w:rPr>
              <w:t>A documented diagnosis of CF.</w:t>
            </w:r>
          </w:p>
          <w:p w14:paraId="0F502D96" w14:textId="5B0A1CC7" w:rsidR="00E127E0" w:rsidRDefault="00E127E0" w:rsidP="001A3E2E">
            <w:pPr>
              <w:pStyle w:val="ListParagraph"/>
              <w:numPr>
                <w:ilvl w:val="0"/>
                <w:numId w:val="28"/>
              </w:numPr>
              <w:rPr>
                <w:rFonts w:ascii="Arial" w:hAnsi="Arial" w:cs="Arial"/>
                <w:sz w:val="20"/>
                <w:szCs w:val="20"/>
              </w:rPr>
            </w:pPr>
            <w:r>
              <w:rPr>
                <w:rFonts w:ascii="Arial" w:hAnsi="Arial" w:cs="Arial"/>
                <w:sz w:val="20"/>
                <w:szCs w:val="20"/>
              </w:rPr>
              <w:t>Weight of 25kg or more.</w:t>
            </w:r>
          </w:p>
          <w:p w14:paraId="25FB3369" w14:textId="66E478F1" w:rsidR="00E127E0" w:rsidRDefault="00E127E0" w:rsidP="001A3E2E">
            <w:pPr>
              <w:pStyle w:val="ListParagraph"/>
              <w:numPr>
                <w:ilvl w:val="0"/>
                <w:numId w:val="28"/>
              </w:numPr>
              <w:rPr>
                <w:rFonts w:ascii="Arial" w:hAnsi="Arial" w:cs="Arial"/>
                <w:sz w:val="20"/>
                <w:szCs w:val="20"/>
              </w:rPr>
            </w:pPr>
            <w:r>
              <w:rPr>
                <w:rFonts w:ascii="Arial" w:hAnsi="Arial" w:cs="Arial"/>
                <w:sz w:val="20"/>
                <w:szCs w:val="20"/>
              </w:rPr>
              <w:t xml:space="preserve">Chronic infection with </w:t>
            </w:r>
            <w:r w:rsidR="00C13461" w:rsidRPr="00954954">
              <w:rPr>
                <w:rFonts w:ascii="Arial" w:hAnsi="Arial" w:cs="Arial"/>
                <w:i/>
                <w:iCs/>
                <w:sz w:val="20"/>
                <w:szCs w:val="20"/>
              </w:rPr>
              <w:t>Pseudomonas aeruginosa</w:t>
            </w:r>
            <w:r w:rsidR="007A3C96">
              <w:rPr>
                <w:rFonts w:ascii="Arial" w:hAnsi="Arial" w:cs="Arial"/>
                <w:sz w:val="20"/>
                <w:szCs w:val="20"/>
              </w:rPr>
              <w:t>, defined by a positive respiratory tract culture 1 year or more before screening and at screening.</w:t>
            </w:r>
          </w:p>
          <w:p w14:paraId="74C1D2C6" w14:textId="490725EB" w:rsidR="007A3C96" w:rsidRDefault="007A3C96" w:rsidP="001A3E2E">
            <w:pPr>
              <w:pStyle w:val="ListParagraph"/>
              <w:numPr>
                <w:ilvl w:val="0"/>
                <w:numId w:val="28"/>
              </w:numPr>
              <w:rPr>
                <w:rFonts w:ascii="Arial" w:hAnsi="Arial" w:cs="Arial"/>
                <w:sz w:val="20"/>
                <w:szCs w:val="20"/>
              </w:rPr>
            </w:pPr>
            <w:r>
              <w:rPr>
                <w:rFonts w:ascii="Arial" w:hAnsi="Arial" w:cs="Arial"/>
                <w:sz w:val="20"/>
                <w:szCs w:val="20"/>
              </w:rPr>
              <w:t>FEV</w:t>
            </w:r>
            <w:r w:rsidRPr="007A3C96">
              <w:rPr>
                <w:rFonts w:ascii="Arial" w:hAnsi="Arial" w:cs="Arial"/>
                <w:sz w:val="20"/>
                <w:szCs w:val="20"/>
                <w:vertAlign w:val="subscript"/>
              </w:rPr>
              <w:t>1</w:t>
            </w:r>
            <w:r>
              <w:rPr>
                <w:rFonts w:ascii="Arial" w:hAnsi="Arial" w:cs="Arial"/>
                <w:sz w:val="20"/>
                <w:szCs w:val="20"/>
              </w:rPr>
              <w:t>%</w:t>
            </w:r>
            <w:r w:rsidRPr="007A3C96">
              <w:rPr>
                <w:rFonts w:ascii="Arial" w:hAnsi="Arial" w:cs="Arial"/>
                <w:sz w:val="20"/>
                <w:szCs w:val="20"/>
                <w:u w:val="single"/>
              </w:rPr>
              <w:t>&gt;</w:t>
            </w:r>
            <w:r>
              <w:rPr>
                <w:rFonts w:ascii="Arial" w:hAnsi="Arial" w:cs="Arial"/>
                <w:sz w:val="20"/>
                <w:szCs w:val="20"/>
              </w:rPr>
              <w:t>30.</w:t>
            </w:r>
          </w:p>
          <w:p w14:paraId="657DABC1" w14:textId="77777777" w:rsidR="00E127E0" w:rsidRPr="004D3F81" w:rsidRDefault="00E127E0" w:rsidP="00E127E0">
            <w:pPr>
              <w:pStyle w:val="ListParagraph"/>
              <w:rPr>
                <w:rFonts w:ascii="Arial" w:hAnsi="Arial" w:cs="Arial"/>
                <w:sz w:val="20"/>
                <w:szCs w:val="20"/>
              </w:rPr>
            </w:pPr>
          </w:p>
          <w:p w14:paraId="51230655" w14:textId="77777777" w:rsidR="007D689E" w:rsidRPr="00EE69B1" w:rsidRDefault="007D689E" w:rsidP="00C40B76">
            <w:pPr>
              <w:pStyle w:val="ListParagraph"/>
              <w:ind w:left="360"/>
              <w:rPr>
                <w:rFonts w:ascii="Arial" w:hAnsi="Arial" w:cs="Arial"/>
                <w:sz w:val="20"/>
                <w:szCs w:val="20"/>
              </w:rPr>
            </w:pPr>
          </w:p>
          <w:p w14:paraId="47B6D1C1" w14:textId="3CA59693" w:rsidR="007D689E" w:rsidRPr="00EE69B1" w:rsidRDefault="007D689E" w:rsidP="00C40B76">
            <w:pPr>
              <w:rPr>
                <w:rFonts w:ascii="Arial" w:hAnsi="Arial" w:cs="Arial"/>
                <w:sz w:val="20"/>
                <w:szCs w:val="20"/>
              </w:rPr>
            </w:pPr>
            <w:r w:rsidRPr="00EE69B1">
              <w:rPr>
                <w:rFonts w:ascii="Arial" w:hAnsi="Arial" w:cs="Arial"/>
                <w:sz w:val="20"/>
                <w:szCs w:val="20"/>
              </w:rPr>
              <w:t xml:space="preserve">Exclusion </w:t>
            </w:r>
            <w:r w:rsidR="00192FE2">
              <w:rPr>
                <w:rFonts w:ascii="Arial" w:hAnsi="Arial" w:cs="Arial"/>
                <w:sz w:val="20"/>
                <w:szCs w:val="20"/>
              </w:rPr>
              <w:t>c</w:t>
            </w:r>
            <w:r w:rsidRPr="00EE69B1">
              <w:rPr>
                <w:rFonts w:ascii="Arial" w:hAnsi="Arial" w:cs="Arial"/>
                <w:sz w:val="20"/>
                <w:szCs w:val="20"/>
              </w:rPr>
              <w:t>riteria</w:t>
            </w:r>
            <w:r w:rsidR="00C22402">
              <w:rPr>
                <w:rFonts w:ascii="Arial" w:hAnsi="Arial" w:cs="Arial"/>
                <w:sz w:val="20"/>
                <w:szCs w:val="20"/>
              </w:rPr>
              <w:t>:</w:t>
            </w:r>
          </w:p>
          <w:p w14:paraId="11AB21A4" w14:textId="1E051813" w:rsidR="007D689E" w:rsidRPr="00553BDF" w:rsidRDefault="00B139F4" w:rsidP="001A3E2E">
            <w:pPr>
              <w:pStyle w:val="ListParagraph"/>
              <w:numPr>
                <w:ilvl w:val="0"/>
                <w:numId w:val="34"/>
              </w:numPr>
              <w:rPr>
                <w:rFonts w:ascii="Arial" w:hAnsi="Arial" w:cs="Arial"/>
                <w:sz w:val="20"/>
                <w:szCs w:val="20"/>
              </w:rPr>
            </w:pPr>
            <w:r w:rsidRPr="00B066BD">
              <w:rPr>
                <w:rFonts w:ascii="Arial" w:hAnsi="Arial" w:cs="Arial"/>
                <w:i/>
                <w:iCs/>
                <w:sz w:val="20"/>
                <w:szCs w:val="20"/>
              </w:rPr>
              <w:t>B</w:t>
            </w:r>
            <w:r w:rsidR="00C13461">
              <w:rPr>
                <w:rFonts w:ascii="Arial" w:hAnsi="Arial" w:cs="Arial"/>
                <w:i/>
                <w:iCs/>
                <w:sz w:val="20"/>
                <w:szCs w:val="20"/>
              </w:rPr>
              <w:t>urkholderia</w:t>
            </w:r>
            <w:r w:rsidRPr="00B066BD">
              <w:rPr>
                <w:rFonts w:ascii="Arial" w:hAnsi="Arial" w:cs="Arial"/>
                <w:i/>
                <w:iCs/>
                <w:sz w:val="20"/>
                <w:szCs w:val="20"/>
              </w:rPr>
              <w:t xml:space="preserve"> cepacia</w:t>
            </w:r>
            <w:r w:rsidRPr="00553BDF">
              <w:rPr>
                <w:rFonts w:ascii="Arial" w:hAnsi="Arial" w:cs="Arial"/>
                <w:sz w:val="20"/>
                <w:szCs w:val="20"/>
              </w:rPr>
              <w:t xml:space="preserve"> complex isolated from the respiratory tract at screening or within 2 years or screening.</w:t>
            </w:r>
          </w:p>
          <w:p w14:paraId="28517112" w14:textId="77777777" w:rsidR="00B139F4" w:rsidRDefault="00B139F4" w:rsidP="001A3E2E">
            <w:pPr>
              <w:pStyle w:val="ListParagraph"/>
              <w:numPr>
                <w:ilvl w:val="0"/>
                <w:numId w:val="34"/>
              </w:numPr>
              <w:rPr>
                <w:rFonts w:ascii="Arial" w:hAnsi="Arial" w:cs="Arial"/>
                <w:sz w:val="20"/>
                <w:szCs w:val="20"/>
              </w:rPr>
            </w:pPr>
            <w:r>
              <w:rPr>
                <w:rFonts w:ascii="Arial" w:hAnsi="Arial" w:cs="Arial"/>
                <w:sz w:val="20"/>
                <w:szCs w:val="20"/>
              </w:rPr>
              <w:t>Nontubercul</w:t>
            </w:r>
            <w:r w:rsidR="00167C6A">
              <w:rPr>
                <w:rFonts w:ascii="Arial" w:hAnsi="Arial" w:cs="Arial"/>
                <w:sz w:val="20"/>
                <w:szCs w:val="20"/>
              </w:rPr>
              <w:t>ous mycobacteria within 2 years of screening or acid-fast bacillus smear positive at screening.</w:t>
            </w:r>
          </w:p>
          <w:p w14:paraId="227ABC88" w14:textId="77777777" w:rsidR="00167C6A" w:rsidRDefault="00167C6A" w:rsidP="001A3E2E">
            <w:pPr>
              <w:pStyle w:val="ListParagraph"/>
              <w:numPr>
                <w:ilvl w:val="0"/>
                <w:numId w:val="34"/>
              </w:numPr>
              <w:rPr>
                <w:rFonts w:ascii="Arial" w:hAnsi="Arial" w:cs="Arial"/>
                <w:sz w:val="20"/>
                <w:szCs w:val="20"/>
              </w:rPr>
            </w:pPr>
            <w:r>
              <w:rPr>
                <w:rFonts w:ascii="Arial" w:hAnsi="Arial" w:cs="Arial"/>
                <w:sz w:val="20"/>
                <w:szCs w:val="20"/>
              </w:rPr>
              <w:t>History of biliary cirrhosis or portal hypertension, splenomegaly on examination, or liver function results of 2 or more times the upper limit of normal.</w:t>
            </w:r>
          </w:p>
          <w:p w14:paraId="272A3183" w14:textId="77777777" w:rsidR="00167C6A" w:rsidRDefault="00167C6A" w:rsidP="001A3E2E">
            <w:pPr>
              <w:pStyle w:val="ListParagraph"/>
              <w:numPr>
                <w:ilvl w:val="0"/>
                <w:numId w:val="34"/>
              </w:numPr>
              <w:rPr>
                <w:rFonts w:ascii="Arial" w:hAnsi="Arial" w:cs="Arial"/>
                <w:sz w:val="20"/>
                <w:szCs w:val="20"/>
              </w:rPr>
            </w:pPr>
            <w:r>
              <w:rPr>
                <w:rFonts w:ascii="Arial" w:hAnsi="Arial" w:cs="Arial"/>
                <w:sz w:val="20"/>
                <w:szCs w:val="20"/>
              </w:rPr>
              <w:t>Use of intravenous antibiotics, quinolones, or other oral antibiotics within 14 days of screening.</w:t>
            </w:r>
          </w:p>
          <w:p w14:paraId="4B513FEA" w14:textId="77777777" w:rsidR="00167C6A" w:rsidRDefault="00167C6A" w:rsidP="001A3E2E">
            <w:pPr>
              <w:pStyle w:val="ListParagraph"/>
              <w:numPr>
                <w:ilvl w:val="0"/>
                <w:numId w:val="34"/>
              </w:numPr>
              <w:rPr>
                <w:rFonts w:ascii="Arial" w:hAnsi="Arial" w:cs="Arial"/>
                <w:sz w:val="20"/>
                <w:szCs w:val="20"/>
              </w:rPr>
            </w:pPr>
            <w:r>
              <w:rPr>
                <w:rFonts w:ascii="Arial" w:hAnsi="Arial" w:cs="Arial"/>
                <w:sz w:val="20"/>
                <w:szCs w:val="20"/>
              </w:rPr>
              <w:t xml:space="preserve">Use of systemic corticosteroids </w:t>
            </w:r>
            <w:r w:rsidR="0035272E">
              <w:rPr>
                <w:rFonts w:ascii="Arial" w:hAnsi="Arial" w:cs="Arial"/>
                <w:sz w:val="20"/>
                <w:szCs w:val="20"/>
              </w:rPr>
              <w:t>within 30 days of screening.</w:t>
            </w:r>
          </w:p>
          <w:p w14:paraId="48363A90" w14:textId="78E061BA" w:rsidR="0035272E" w:rsidRPr="007A3C96" w:rsidRDefault="0035272E" w:rsidP="001A3E2E">
            <w:pPr>
              <w:pStyle w:val="ListParagraph"/>
              <w:numPr>
                <w:ilvl w:val="0"/>
                <w:numId w:val="34"/>
              </w:numPr>
              <w:rPr>
                <w:rFonts w:ascii="Arial" w:hAnsi="Arial" w:cs="Arial"/>
                <w:sz w:val="20"/>
                <w:szCs w:val="20"/>
              </w:rPr>
            </w:pPr>
            <w:r>
              <w:rPr>
                <w:rFonts w:ascii="Arial" w:hAnsi="Arial" w:cs="Arial"/>
                <w:sz w:val="20"/>
                <w:szCs w:val="20"/>
              </w:rPr>
              <w:t>Initiation of tobramycin solution for inhalation, recombinant human dornase alfa solution, or high-dose ibu</w:t>
            </w:r>
            <w:r w:rsidR="00B0718E">
              <w:rPr>
                <w:rFonts w:ascii="Arial" w:hAnsi="Arial" w:cs="Arial"/>
                <w:sz w:val="20"/>
                <w:szCs w:val="20"/>
              </w:rPr>
              <w:t xml:space="preserve">profen within 60 days of screening. Long term use of these medication was permissible. </w:t>
            </w:r>
          </w:p>
        </w:tc>
        <w:tc>
          <w:tcPr>
            <w:tcW w:w="4508" w:type="dxa"/>
            <w:tcBorders>
              <w:top w:val="single" w:sz="4" w:space="0" w:color="auto"/>
            </w:tcBorders>
          </w:tcPr>
          <w:p w14:paraId="6163D057" w14:textId="2FB53962" w:rsidR="004C45CA" w:rsidRDefault="007D689E" w:rsidP="004C45CA">
            <w:pPr>
              <w:rPr>
                <w:rFonts w:ascii="Arial" w:hAnsi="Arial" w:cs="Arial"/>
                <w:sz w:val="20"/>
                <w:szCs w:val="20"/>
              </w:rPr>
            </w:pPr>
            <w:r w:rsidRPr="00EE69B1">
              <w:rPr>
                <w:rFonts w:ascii="Arial" w:hAnsi="Arial" w:cs="Arial"/>
                <w:sz w:val="20"/>
                <w:szCs w:val="20"/>
              </w:rPr>
              <w:t xml:space="preserve">Inclusion </w:t>
            </w:r>
            <w:r w:rsidR="00192FE2">
              <w:rPr>
                <w:rFonts w:ascii="Arial" w:hAnsi="Arial" w:cs="Arial"/>
                <w:sz w:val="20"/>
                <w:szCs w:val="20"/>
              </w:rPr>
              <w:t>c</w:t>
            </w:r>
            <w:r w:rsidRPr="00EE69B1">
              <w:rPr>
                <w:rFonts w:ascii="Arial" w:hAnsi="Arial" w:cs="Arial"/>
                <w:sz w:val="20"/>
                <w:szCs w:val="20"/>
              </w:rPr>
              <w:t>riteria:</w:t>
            </w:r>
          </w:p>
          <w:p w14:paraId="48B4529E" w14:textId="7BB487C9" w:rsidR="00192FE2" w:rsidRDefault="00192FE2" w:rsidP="001A3E2E">
            <w:pPr>
              <w:pStyle w:val="ListParagraph"/>
              <w:numPr>
                <w:ilvl w:val="0"/>
                <w:numId w:val="33"/>
              </w:numPr>
              <w:rPr>
                <w:rFonts w:ascii="Arial" w:hAnsi="Arial" w:cs="Arial"/>
                <w:sz w:val="20"/>
                <w:szCs w:val="20"/>
              </w:rPr>
            </w:pPr>
            <w:r w:rsidRPr="00192FE2">
              <w:rPr>
                <w:rFonts w:ascii="Arial" w:hAnsi="Arial" w:cs="Arial"/>
                <w:sz w:val="20"/>
                <w:szCs w:val="20"/>
              </w:rPr>
              <w:t>Males or female aged 6 years and above.</w:t>
            </w:r>
          </w:p>
          <w:p w14:paraId="384A0F9D" w14:textId="71CC6177" w:rsidR="00192FE2" w:rsidRDefault="00192FE2" w:rsidP="001A3E2E">
            <w:pPr>
              <w:pStyle w:val="ListParagraph"/>
              <w:numPr>
                <w:ilvl w:val="0"/>
                <w:numId w:val="33"/>
              </w:numPr>
              <w:rPr>
                <w:rFonts w:ascii="Arial" w:hAnsi="Arial" w:cs="Arial"/>
                <w:sz w:val="20"/>
                <w:szCs w:val="20"/>
              </w:rPr>
            </w:pPr>
            <w:r>
              <w:rPr>
                <w:rFonts w:ascii="Arial" w:hAnsi="Arial" w:cs="Arial"/>
                <w:sz w:val="20"/>
                <w:szCs w:val="20"/>
              </w:rPr>
              <w:t>NA – Assume people in the Registry have a documented diagnosis of CF.</w:t>
            </w:r>
          </w:p>
          <w:p w14:paraId="20CB2EB3" w14:textId="5C7064C2" w:rsidR="00192FE2" w:rsidRDefault="00192FE2" w:rsidP="001A3E2E">
            <w:pPr>
              <w:pStyle w:val="ListParagraph"/>
              <w:numPr>
                <w:ilvl w:val="0"/>
                <w:numId w:val="33"/>
              </w:numPr>
              <w:rPr>
                <w:rFonts w:ascii="Arial" w:hAnsi="Arial" w:cs="Arial"/>
                <w:sz w:val="20"/>
                <w:szCs w:val="20"/>
              </w:rPr>
            </w:pPr>
            <w:r>
              <w:rPr>
                <w:rFonts w:ascii="Arial" w:hAnsi="Arial" w:cs="Arial"/>
                <w:sz w:val="20"/>
                <w:szCs w:val="20"/>
              </w:rPr>
              <w:t>Weight of 25kg or more.</w:t>
            </w:r>
          </w:p>
          <w:p w14:paraId="5C8DD3AC" w14:textId="2712BB90" w:rsidR="00192FE2" w:rsidRDefault="00192FE2" w:rsidP="001A3E2E">
            <w:pPr>
              <w:pStyle w:val="ListParagraph"/>
              <w:numPr>
                <w:ilvl w:val="0"/>
                <w:numId w:val="33"/>
              </w:numPr>
              <w:rPr>
                <w:rFonts w:ascii="Arial" w:hAnsi="Arial" w:cs="Arial"/>
                <w:sz w:val="20"/>
                <w:szCs w:val="20"/>
              </w:rPr>
            </w:pPr>
            <w:r>
              <w:rPr>
                <w:rFonts w:ascii="Arial" w:hAnsi="Arial" w:cs="Arial"/>
                <w:sz w:val="20"/>
                <w:szCs w:val="20"/>
              </w:rPr>
              <w:t xml:space="preserve">Recorded </w:t>
            </w:r>
            <w:r w:rsidR="00C13461" w:rsidRPr="00954954">
              <w:rPr>
                <w:rFonts w:ascii="Arial" w:hAnsi="Arial" w:cs="Arial"/>
                <w:i/>
                <w:iCs/>
                <w:sz w:val="20"/>
                <w:szCs w:val="20"/>
              </w:rPr>
              <w:t>Pseudomonas aeruginosa</w:t>
            </w:r>
            <w:r w:rsidR="00C13461">
              <w:rPr>
                <w:rFonts w:ascii="Arial" w:hAnsi="Arial" w:cs="Arial"/>
                <w:i/>
                <w:iCs/>
                <w:sz w:val="20"/>
                <w:szCs w:val="20"/>
              </w:rPr>
              <w:t xml:space="preserve"> </w:t>
            </w:r>
            <w:r>
              <w:rPr>
                <w:rFonts w:ascii="Arial" w:hAnsi="Arial" w:cs="Arial"/>
                <w:sz w:val="20"/>
                <w:szCs w:val="20"/>
              </w:rPr>
              <w:t xml:space="preserve">infection at index visit or any annual review within 1 year prior to index visit. </w:t>
            </w:r>
          </w:p>
          <w:p w14:paraId="156FFC3F" w14:textId="1E5AC8D7" w:rsidR="00192FE2" w:rsidRPr="00192FE2" w:rsidRDefault="00192FE2" w:rsidP="001A3E2E">
            <w:pPr>
              <w:pStyle w:val="ListParagraph"/>
              <w:numPr>
                <w:ilvl w:val="0"/>
                <w:numId w:val="33"/>
              </w:numPr>
              <w:rPr>
                <w:rFonts w:ascii="Arial" w:hAnsi="Arial" w:cs="Arial"/>
                <w:sz w:val="20"/>
                <w:szCs w:val="20"/>
              </w:rPr>
            </w:pPr>
            <w:r>
              <w:rPr>
                <w:rFonts w:ascii="Arial" w:hAnsi="Arial" w:cs="Arial"/>
                <w:sz w:val="20"/>
                <w:szCs w:val="20"/>
              </w:rPr>
              <w:t>FEV</w:t>
            </w:r>
            <w:r w:rsidRPr="007A3C96">
              <w:rPr>
                <w:rFonts w:ascii="Arial" w:hAnsi="Arial" w:cs="Arial"/>
                <w:sz w:val="20"/>
                <w:szCs w:val="20"/>
                <w:vertAlign w:val="subscript"/>
              </w:rPr>
              <w:t>1</w:t>
            </w:r>
            <w:r>
              <w:rPr>
                <w:rFonts w:ascii="Arial" w:hAnsi="Arial" w:cs="Arial"/>
                <w:sz w:val="20"/>
                <w:szCs w:val="20"/>
              </w:rPr>
              <w:t>%</w:t>
            </w:r>
            <w:r w:rsidRPr="007A3C96">
              <w:rPr>
                <w:rFonts w:ascii="Arial" w:hAnsi="Arial" w:cs="Arial"/>
                <w:sz w:val="20"/>
                <w:szCs w:val="20"/>
                <w:u w:val="single"/>
              </w:rPr>
              <w:t>&gt;</w:t>
            </w:r>
            <w:r>
              <w:rPr>
                <w:rFonts w:ascii="Arial" w:hAnsi="Arial" w:cs="Arial"/>
                <w:sz w:val="20"/>
                <w:szCs w:val="20"/>
              </w:rPr>
              <w:t>30.</w:t>
            </w:r>
          </w:p>
          <w:p w14:paraId="4B293B21" w14:textId="77777777" w:rsidR="007D689E" w:rsidRPr="00EE69B1" w:rsidRDefault="007D689E" w:rsidP="00C40B76">
            <w:pPr>
              <w:rPr>
                <w:rFonts w:ascii="Arial" w:hAnsi="Arial" w:cs="Arial"/>
                <w:sz w:val="20"/>
                <w:szCs w:val="20"/>
              </w:rPr>
            </w:pPr>
          </w:p>
          <w:p w14:paraId="21FDA9C2" w14:textId="77777777" w:rsidR="007D689E" w:rsidRPr="00EE69B1" w:rsidRDefault="007D689E" w:rsidP="00C40B76">
            <w:pPr>
              <w:rPr>
                <w:rFonts w:ascii="Arial" w:hAnsi="Arial" w:cs="Arial"/>
                <w:sz w:val="20"/>
                <w:szCs w:val="20"/>
              </w:rPr>
            </w:pPr>
          </w:p>
          <w:p w14:paraId="1B662CD4" w14:textId="7EA936BB" w:rsidR="007D689E" w:rsidRPr="00EE69B1" w:rsidRDefault="007D689E" w:rsidP="00C40B76">
            <w:pPr>
              <w:rPr>
                <w:rFonts w:ascii="Arial" w:hAnsi="Arial" w:cs="Arial"/>
                <w:sz w:val="20"/>
                <w:szCs w:val="20"/>
              </w:rPr>
            </w:pPr>
            <w:r w:rsidRPr="00EE69B1">
              <w:rPr>
                <w:rFonts w:ascii="Arial" w:hAnsi="Arial" w:cs="Arial"/>
                <w:sz w:val="20"/>
                <w:szCs w:val="20"/>
              </w:rPr>
              <w:t xml:space="preserve">Exclusion </w:t>
            </w:r>
            <w:r w:rsidR="00553BDF">
              <w:rPr>
                <w:rFonts w:ascii="Arial" w:hAnsi="Arial" w:cs="Arial"/>
                <w:sz w:val="20"/>
                <w:szCs w:val="20"/>
              </w:rPr>
              <w:t>c</w:t>
            </w:r>
            <w:r w:rsidRPr="00EE69B1">
              <w:rPr>
                <w:rFonts w:ascii="Arial" w:hAnsi="Arial" w:cs="Arial"/>
                <w:sz w:val="20"/>
                <w:szCs w:val="20"/>
              </w:rPr>
              <w:t>riteria</w:t>
            </w:r>
            <w:r w:rsidR="00C22402">
              <w:rPr>
                <w:rFonts w:ascii="Arial" w:hAnsi="Arial" w:cs="Arial"/>
                <w:sz w:val="20"/>
                <w:szCs w:val="20"/>
              </w:rPr>
              <w:t>:</w:t>
            </w:r>
            <w:r w:rsidRPr="00EE69B1">
              <w:rPr>
                <w:rFonts w:ascii="Arial" w:hAnsi="Arial" w:cs="Arial"/>
                <w:sz w:val="20"/>
                <w:szCs w:val="20"/>
              </w:rPr>
              <w:t xml:space="preserve"> </w:t>
            </w:r>
          </w:p>
          <w:p w14:paraId="5495DE28" w14:textId="7EF064BC" w:rsidR="007D689E" w:rsidRDefault="00027435" w:rsidP="001A3E2E">
            <w:pPr>
              <w:pStyle w:val="ListParagraph"/>
              <w:numPr>
                <w:ilvl w:val="0"/>
                <w:numId w:val="35"/>
              </w:numPr>
              <w:rPr>
                <w:rFonts w:ascii="Arial" w:hAnsi="Arial" w:cs="Arial"/>
                <w:sz w:val="20"/>
                <w:szCs w:val="20"/>
              </w:rPr>
            </w:pPr>
            <w:r w:rsidRPr="00B066BD">
              <w:rPr>
                <w:rFonts w:ascii="Arial" w:hAnsi="Arial" w:cs="Arial"/>
                <w:i/>
                <w:iCs/>
                <w:sz w:val="20"/>
                <w:szCs w:val="20"/>
              </w:rPr>
              <w:t>B</w:t>
            </w:r>
            <w:r w:rsidR="00C13461">
              <w:rPr>
                <w:rFonts w:ascii="Arial" w:hAnsi="Arial" w:cs="Arial"/>
                <w:i/>
                <w:iCs/>
                <w:sz w:val="20"/>
                <w:szCs w:val="20"/>
              </w:rPr>
              <w:t>urkholderia</w:t>
            </w:r>
            <w:r w:rsidRPr="00B066BD">
              <w:rPr>
                <w:rFonts w:ascii="Arial" w:hAnsi="Arial" w:cs="Arial"/>
                <w:i/>
                <w:iCs/>
                <w:sz w:val="20"/>
                <w:szCs w:val="20"/>
              </w:rPr>
              <w:t xml:space="preserve"> cepacia</w:t>
            </w:r>
            <w:r>
              <w:rPr>
                <w:rFonts w:ascii="Arial" w:hAnsi="Arial" w:cs="Arial"/>
                <w:sz w:val="20"/>
                <w:szCs w:val="20"/>
              </w:rPr>
              <w:t xml:space="preserve"> recorded at index visit or within 2 years prior to index visit. </w:t>
            </w:r>
          </w:p>
          <w:p w14:paraId="32FDD508" w14:textId="77777777" w:rsidR="00027435" w:rsidRDefault="00027435" w:rsidP="001A3E2E">
            <w:pPr>
              <w:pStyle w:val="ListParagraph"/>
              <w:numPr>
                <w:ilvl w:val="0"/>
                <w:numId w:val="35"/>
              </w:numPr>
              <w:rPr>
                <w:rFonts w:ascii="Arial" w:hAnsi="Arial" w:cs="Arial"/>
                <w:sz w:val="20"/>
                <w:szCs w:val="20"/>
              </w:rPr>
            </w:pPr>
            <w:r>
              <w:rPr>
                <w:rFonts w:ascii="Arial" w:hAnsi="Arial" w:cs="Arial"/>
                <w:sz w:val="20"/>
                <w:szCs w:val="20"/>
              </w:rPr>
              <w:t xml:space="preserve">Nontuberculous mycobacteria within 2 years prior to index visit. </w:t>
            </w:r>
          </w:p>
          <w:p w14:paraId="33508FB2" w14:textId="77777777" w:rsidR="00027435" w:rsidRDefault="00027435" w:rsidP="001A3E2E">
            <w:pPr>
              <w:pStyle w:val="ListParagraph"/>
              <w:numPr>
                <w:ilvl w:val="0"/>
                <w:numId w:val="35"/>
              </w:numPr>
              <w:rPr>
                <w:rFonts w:ascii="Arial" w:hAnsi="Arial" w:cs="Arial"/>
                <w:sz w:val="20"/>
                <w:szCs w:val="20"/>
              </w:rPr>
            </w:pPr>
            <w:r>
              <w:rPr>
                <w:rFonts w:ascii="Arial" w:hAnsi="Arial" w:cs="Arial"/>
                <w:sz w:val="20"/>
                <w:szCs w:val="20"/>
              </w:rPr>
              <w:t>History of biliary cirrhosis or p</w:t>
            </w:r>
            <w:r w:rsidR="00FF0F21">
              <w:rPr>
                <w:rFonts w:ascii="Arial" w:hAnsi="Arial" w:cs="Arial"/>
                <w:sz w:val="20"/>
                <w:szCs w:val="20"/>
              </w:rPr>
              <w:t xml:space="preserve">ortal hypertension, or liver function results of 2 or more times the upper limit of normal. </w:t>
            </w:r>
          </w:p>
          <w:p w14:paraId="7502B930" w14:textId="77777777" w:rsidR="00FF0F21" w:rsidRDefault="00FF0F21" w:rsidP="001A3E2E">
            <w:pPr>
              <w:pStyle w:val="ListParagraph"/>
              <w:numPr>
                <w:ilvl w:val="0"/>
                <w:numId w:val="35"/>
              </w:numPr>
              <w:rPr>
                <w:rFonts w:ascii="Arial" w:hAnsi="Arial" w:cs="Arial"/>
                <w:sz w:val="20"/>
                <w:szCs w:val="20"/>
              </w:rPr>
            </w:pPr>
            <w:r>
              <w:rPr>
                <w:rFonts w:ascii="Arial" w:hAnsi="Arial" w:cs="Arial"/>
                <w:sz w:val="20"/>
                <w:szCs w:val="20"/>
              </w:rPr>
              <w:t>Use of intravenous antibiotics or other oral antibiotics within 14 days of index visit.</w:t>
            </w:r>
          </w:p>
          <w:p w14:paraId="0B41EA9A" w14:textId="77777777" w:rsidR="00FF0F21" w:rsidRDefault="00FF0F21" w:rsidP="001A3E2E">
            <w:pPr>
              <w:pStyle w:val="ListParagraph"/>
              <w:numPr>
                <w:ilvl w:val="0"/>
                <w:numId w:val="35"/>
              </w:numPr>
              <w:rPr>
                <w:rFonts w:ascii="Arial" w:hAnsi="Arial" w:cs="Arial"/>
                <w:sz w:val="20"/>
                <w:szCs w:val="20"/>
              </w:rPr>
            </w:pPr>
            <w:r>
              <w:rPr>
                <w:rFonts w:ascii="Arial" w:hAnsi="Arial" w:cs="Arial"/>
                <w:sz w:val="20"/>
                <w:szCs w:val="20"/>
              </w:rPr>
              <w:t xml:space="preserve">Use of </w:t>
            </w:r>
            <w:r w:rsidR="00791956">
              <w:rPr>
                <w:rFonts w:ascii="Arial" w:hAnsi="Arial" w:cs="Arial"/>
                <w:sz w:val="20"/>
                <w:szCs w:val="20"/>
              </w:rPr>
              <w:t xml:space="preserve">oral corticosteroids within 30 days of the index visit. </w:t>
            </w:r>
          </w:p>
          <w:p w14:paraId="72A459B6" w14:textId="35B93F56" w:rsidR="00791956" w:rsidRPr="00EE69B1" w:rsidRDefault="00DA0F4C" w:rsidP="001A3E2E">
            <w:pPr>
              <w:pStyle w:val="ListParagraph"/>
              <w:numPr>
                <w:ilvl w:val="0"/>
                <w:numId w:val="35"/>
              </w:numPr>
              <w:rPr>
                <w:rFonts w:ascii="Arial" w:hAnsi="Arial" w:cs="Arial"/>
                <w:sz w:val="20"/>
                <w:szCs w:val="20"/>
              </w:rPr>
            </w:pPr>
            <w:r>
              <w:rPr>
                <w:rFonts w:ascii="Arial" w:hAnsi="Arial" w:cs="Arial"/>
                <w:sz w:val="20"/>
                <w:szCs w:val="20"/>
              </w:rPr>
              <w:t xml:space="preserve">Initiation of tobramycin solution for inhalation, dornase alfa or high-dose ibuprofen within 60 days of index visit. </w:t>
            </w:r>
          </w:p>
        </w:tc>
      </w:tr>
    </w:tbl>
    <w:p w14:paraId="32BDCBE2" w14:textId="77777777" w:rsidR="007D689E" w:rsidRDefault="007D689E" w:rsidP="007D689E"/>
    <w:p w14:paraId="36437D76" w14:textId="5B8B4A6B" w:rsidR="007D689E" w:rsidRDefault="00121AF5" w:rsidP="00121AF5">
      <w:pPr>
        <w:pStyle w:val="Heading3"/>
      </w:pPr>
      <w:r>
        <w:t xml:space="preserve">4.5.2 </w:t>
      </w:r>
      <w:r w:rsidR="007D689E">
        <w:t>Treatment strategies</w:t>
      </w:r>
    </w:p>
    <w:p w14:paraId="5630E1F8" w14:textId="44CE73F9" w:rsidR="007D689E" w:rsidRPr="00EE69B1" w:rsidRDefault="007D689E" w:rsidP="007D689E">
      <w:pPr>
        <w:rPr>
          <w:rFonts w:ascii="Arial" w:hAnsi="Arial" w:cs="Arial"/>
          <w:sz w:val="20"/>
          <w:szCs w:val="20"/>
        </w:rPr>
      </w:pPr>
      <w:r w:rsidRPr="00EE69B1">
        <w:rPr>
          <w:rFonts w:ascii="Arial" w:hAnsi="Arial" w:cs="Arial"/>
          <w:sz w:val="20"/>
          <w:szCs w:val="20"/>
        </w:rPr>
        <w:t xml:space="preserve">Target trial </w:t>
      </w:r>
      <w:r w:rsidR="0053596C">
        <w:rPr>
          <w:rFonts w:ascii="Arial" w:hAnsi="Arial" w:cs="Arial"/>
          <w:sz w:val="20"/>
          <w:szCs w:val="20"/>
        </w:rPr>
        <w:t>4</w:t>
      </w:r>
      <w:r w:rsidRPr="00EE69B1">
        <w:rPr>
          <w:rFonts w:ascii="Arial" w:hAnsi="Arial" w:cs="Arial"/>
          <w:sz w:val="20"/>
          <w:szCs w:val="20"/>
        </w:rPr>
        <w:t xml:space="preserve"> compared the following treatment strategies: </w:t>
      </w:r>
    </w:p>
    <w:p w14:paraId="2C59D996" w14:textId="54750879" w:rsidR="007D689E" w:rsidRPr="00EE69B1" w:rsidRDefault="007D689E" w:rsidP="007D689E">
      <w:pPr>
        <w:rPr>
          <w:rFonts w:ascii="Arial" w:hAnsi="Arial" w:cs="Arial"/>
          <w:sz w:val="20"/>
          <w:szCs w:val="20"/>
        </w:rPr>
      </w:pPr>
      <w:r w:rsidRPr="00EE69B1">
        <w:rPr>
          <w:rFonts w:ascii="Arial" w:hAnsi="Arial" w:cs="Arial"/>
          <w:sz w:val="20"/>
          <w:szCs w:val="20"/>
        </w:rPr>
        <w:t xml:space="preserve">(1) Active: </w:t>
      </w:r>
      <w:r w:rsidR="00B0718E">
        <w:rPr>
          <w:rFonts w:ascii="Arial" w:hAnsi="Arial" w:cs="Arial"/>
          <w:sz w:val="20"/>
          <w:szCs w:val="20"/>
        </w:rPr>
        <w:t>Azithromycin as 250-mg table</w:t>
      </w:r>
      <w:r w:rsidR="001F0930">
        <w:rPr>
          <w:rFonts w:ascii="Arial" w:hAnsi="Arial" w:cs="Arial"/>
          <w:sz w:val="20"/>
          <w:szCs w:val="20"/>
        </w:rPr>
        <w:t>ts</w:t>
      </w:r>
      <w:r w:rsidR="00596883">
        <w:rPr>
          <w:rFonts w:ascii="Arial" w:hAnsi="Arial" w:cs="Arial"/>
          <w:sz w:val="20"/>
          <w:szCs w:val="20"/>
        </w:rPr>
        <w:t xml:space="preserve">. Participants who weighed less than 40kg take 1 tablet 3 days a week and participants who weight 40kg or more take 2 tables 3 days a week. </w:t>
      </w:r>
      <w:r w:rsidRPr="00EE69B1">
        <w:rPr>
          <w:rFonts w:ascii="Arial" w:hAnsi="Arial" w:cs="Arial"/>
          <w:sz w:val="20"/>
          <w:szCs w:val="20"/>
        </w:rPr>
        <w:t xml:space="preserve"> </w:t>
      </w:r>
    </w:p>
    <w:p w14:paraId="0DFD17F4" w14:textId="1CA94720" w:rsidR="007D689E" w:rsidRPr="00EE69B1" w:rsidRDefault="007D689E" w:rsidP="007D689E">
      <w:pPr>
        <w:rPr>
          <w:rFonts w:ascii="Arial" w:hAnsi="Arial" w:cs="Arial"/>
          <w:sz w:val="20"/>
          <w:szCs w:val="20"/>
        </w:rPr>
      </w:pPr>
      <w:r w:rsidRPr="00EE69B1">
        <w:rPr>
          <w:rFonts w:ascii="Arial" w:hAnsi="Arial" w:cs="Arial"/>
          <w:sz w:val="20"/>
          <w:szCs w:val="20"/>
        </w:rPr>
        <w:t xml:space="preserve">(2) Comparator: </w:t>
      </w:r>
      <w:r w:rsidR="001F0930">
        <w:rPr>
          <w:rFonts w:ascii="Arial" w:hAnsi="Arial" w:cs="Arial"/>
          <w:sz w:val="20"/>
          <w:szCs w:val="20"/>
        </w:rPr>
        <w:t xml:space="preserve">Placebo tablets. Participants who weighed less than 40kg take 1 tablet 3 days a week and participants who weight 40kg or more take 2 tables 3 days a week. </w:t>
      </w:r>
      <w:r w:rsidR="001F0930" w:rsidRPr="00EE69B1">
        <w:rPr>
          <w:rFonts w:ascii="Arial" w:hAnsi="Arial" w:cs="Arial"/>
          <w:sz w:val="20"/>
          <w:szCs w:val="20"/>
        </w:rPr>
        <w:t xml:space="preserve"> </w:t>
      </w:r>
    </w:p>
    <w:p w14:paraId="292A3FCF" w14:textId="0524555E" w:rsidR="001E7B0B" w:rsidRPr="00AA62F7" w:rsidRDefault="001E7B0B" w:rsidP="001E7B0B">
      <w:pPr>
        <w:rPr>
          <w:rFonts w:ascii="Arial" w:hAnsi="Arial" w:cs="Arial"/>
          <w:sz w:val="20"/>
          <w:szCs w:val="20"/>
        </w:rPr>
      </w:pPr>
      <w:r w:rsidRPr="00AA62F7">
        <w:rPr>
          <w:rFonts w:ascii="Arial" w:hAnsi="Arial" w:cs="Arial"/>
          <w:sz w:val="20"/>
          <w:szCs w:val="20"/>
        </w:rPr>
        <w:t xml:space="preserve">We will emulate these using data on treatment prescription. The active group will include people </w:t>
      </w:r>
      <w:r>
        <w:rPr>
          <w:rFonts w:ascii="Arial" w:hAnsi="Arial" w:cs="Arial"/>
          <w:sz w:val="20"/>
          <w:szCs w:val="20"/>
        </w:rPr>
        <w:t xml:space="preserve">who are recorded as taking azithromycin </w:t>
      </w:r>
      <w:r w:rsidRPr="00AA62F7">
        <w:rPr>
          <w:rFonts w:ascii="Arial" w:hAnsi="Arial" w:cs="Arial"/>
          <w:sz w:val="20"/>
          <w:szCs w:val="20"/>
        </w:rPr>
        <w:t xml:space="preserve">and the comparator group will include people </w:t>
      </w:r>
      <w:r>
        <w:rPr>
          <w:rFonts w:ascii="Arial" w:hAnsi="Arial" w:cs="Arial"/>
          <w:sz w:val="20"/>
          <w:szCs w:val="20"/>
        </w:rPr>
        <w:t>who are not recorded as taking azithromycin</w:t>
      </w:r>
      <w:r w:rsidR="00932A96">
        <w:rPr>
          <w:rFonts w:ascii="Arial" w:hAnsi="Arial" w:cs="Arial"/>
          <w:sz w:val="20"/>
          <w:szCs w:val="20"/>
        </w:rPr>
        <w:t>.</w:t>
      </w:r>
    </w:p>
    <w:p w14:paraId="48B8CAFA" w14:textId="2E6FDAE8" w:rsidR="007D689E" w:rsidRPr="00EE69B1" w:rsidRDefault="00121AF5" w:rsidP="00121AF5">
      <w:pPr>
        <w:pStyle w:val="Heading3"/>
      </w:pPr>
      <w:r>
        <w:t xml:space="preserve">4.5.3 </w:t>
      </w:r>
      <w:r w:rsidR="007D689E" w:rsidRPr="00EE69B1">
        <w:t>Outcomes and follow-up period</w:t>
      </w:r>
    </w:p>
    <w:p w14:paraId="744FC337" w14:textId="5A4E2230" w:rsidR="007D689E" w:rsidRPr="00EE69B1" w:rsidRDefault="007D689E" w:rsidP="007D689E">
      <w:pPr>
        <w:rPr>
          <w:rFonts w:ascii="Arial" w:hAnsi="Arial" w:cs="Arial"/>
          <w:sz w:val="20"/>
          <w:szCs w:val="20"/>
        </w:rPr>
      </w:pPr>
      <w:r w:rsidRPr="00EE69B1">
        <w:rPr>
          <w:rFonts w:ascii="Arial" w:hAnsi="Arial" w:cs="Arial"/>
          <w:sz w:val="20"/>
          <w:szCs w:val="20"/>
        </w:rPr>
        <w:t xml:space="preserve">Table </w:t>
      </w:r>
      <w:r w:rsidR="00735A03">
        <w:rPr>
          <w:rFonts w:ascii="Arial" w:hAnsi="Arial" w:cs="Arial"/>
          <w:sz w:val="20"/>
          <w:szCs w:val="20"/>
        </w:rPr>
        <w:t>10</w:t>
      </w:r>
      <w:r w:rsidRPr="00EE69B1">
        <w:rPr>
          <w:rFonts w:ascii="Arial" w:hAnsi="Arial" w:cs="Arial"/>
          <w:sz w:val="20"/>
          <w:szCs w:val="20"/>
        </w:rPr>
        <w:t xml:space="preserve"> details the outcomes investigated in target trial </w:t>
      </w:r>
      <w:r w:rsidR="00A331F6">
        <w:rPr>
          <w:rFonts w:ascii="Arial" w:hAnsi="Arial" w:cs="Arial"/>
          <w:sz w:val="20"/>
          <w:szCs w:val="20"/>
        </w:rPr>
        <w:t>4</w:t>
      </w:r>
      <w:r w:rsidRPr="00EE69B1">
        <w:rPr>
          <w:rFonts w:ascii="Arial" w:hAnsi="Arial" w:cs="Arial"/>
          <w:sz w:val="20"/>
          <w:szCs w:val="20"/>
        </w:rPr>
        <w:t xml:space="preserve"> and how we plan to emulate these criteria using the UK CF Registry data. </w:t>
      </w:r>
    </w:p>
    <w:tbl>
      <w:tblPr>
        <w:tblStyle w:val="TableGrid"/>
        <w:tblW w:w="0" w:type="auto"/>
        <w:tblLook w:val="04A0" w:firstRow="1" w:lastRow="0" w:firstColumn="1" w:lastColumn="0" w:noHBand="0" w:noVBand="1"/>
      </w:tblPr>
      <w:tblGrid>
        <w:gridCol w:w="4508"/>
        <w:gridCol w:w="4508"/>
      </w:tblGrid>
      <w:tr w:rsidR="007D689E" w:rsidRPr="00EE69B1" w14:paraId="4B2F027A" w14:textId="77777777" w:rsidTr="00C40B76">
        <w:tc>
          <w:tcPr>
            <w:tcW w:w="9016" w:type="dxa"/>
            <w:gridSpan w:val="2"/>
            <w:tcBorders>
              <w:top w:val="nil"/>
              <w:left w:val="nil"/>
              <w:bottom w:val="single" w:sz="4" w:space="0" w:color="auto"/>
              <w:right w:val="nil"/>
            </w:tcBorders>
          </w:tcPr>
          <w:p w14:paraId="3301127D" w14:textId="5E1E658A" w:rsidR="007D689E" w:rsidRPr="00EE69B1" w:rsidRDefault="007D689E" w:rsidP="00C40B76">
            <w:pPr>
              <w:rPr>
                <w:rFonts w:ascii="Arial" w:hAnsi="Arial" w:cs="Arial"/>
                <w:sz w:val="20"/>
                <w:szCs w:val="20"/>
              </w:rPr>
            </w:pPr>
            <w:r w:rsidRPr="00EE69B1">
              <w:rPr>
                <w:rFonts w:ascii="Arial" w:hAnsi="Arial" w:cs="Arial"/>
                <w:i/>
                <w:iCs/>
                <w:sz w:val="20"/>
                <w:szCs w:val="20"/>
              </w:rPr>
              <w:t xml:space="preserve">Table </w:t>
            </w:r>
            <w:r w:rsidR="00735A03">
              <w:rPr>
                <w:rFonts w:ascii="Arial" w:hAnsi="Arial" w:cs="Arial"/>
                <w:i/>
                <w:iCs/>
                <w:sz w:val="20"/>
                <w:szCs w:val="20"/>
              </w:rPr>
              <w:t>10</w:t>
            </w:r>
            <w:r w:rsidRPr="00EE69B1">
              <w:rPr>
                <w:rFonts w:ascii="Arial" w:hAnsi="Arial" w:cs="Arial"/>
                <w:i/>
                <w:iCs/>
                <w:sz w:val="20"/>
                <w:szCs w:val="20"/>
              </w:rPr>
              <w:t xml:space="preserve">: </w:t>
            </w:r>
            <w:r w:rsidR="00735A03">
              <w:rPr>
                <w:rFonts w:ascii="Arial" w:hAnsi="Arial" w:cs="Arial"/>
                <w:i/>
                <w:iCs/>
                <w:sz w:val="20"/>
                <w:szCs w:val="20"/>
              </w:rPr>
              <w:t>Outcomes</w:t>
            </w:r>
            <w:r w:rsidRPr="00EE69B1">
              <w:rPr>
                <w:rFonts w:ascii="Arial" w:hAnsi="Arial" w:cs="Arial"/>
                <w:i/>
                <w:iCs/>
                <w:sz w:val="20"/>
                <w:szCs w:val="20"/>
              </w:rPr>
              <w:t xml:space="preserve"> for target trial </w:t>
            </w:r>
            <w:r w:rsidR="00A331F6">
              <w:rPr>
                <w:rFonts w:ascii="Arial" w:hAnsi="Arial" w:cs="Arial"/>
                <w:i/>
                <w:iCs/>
                <w:sz w:val="20"/>
                <w:szCs w:val="20"/>
              </w:rPr>
              <w:t>4</w:t>
            </w:r>
            <w:r w:rsidRPr="00EE69B1">
              <w:rPr>
                <w:rFonts w:ascii="Arial" w:hAnsi="Arial" w:cs="Arial"/>
                <w:i/>
                <w:iCs/>
                <w:sz w:val="20"/>
                <w:szCs w:val="20"/>
              </w:rPr>
              <w:t xml:space="preserve"> and the associated emulated trial </w:t>
            </w:r>
          </w:p>
        </w:tc>
      </w:tr>
      <w:tr w:rsidR="00726233" w:rsidRPr="00EE69B1" w14:paraId="60F08659" w14:textId="77777777" w:rsidTr="00C40B76">
        <w:tc>
          <w:tcPr>
            <w:tcW w:w="4508" w:type="dxa"/>
            <w:tcBorders>
              <w:top w:val="single" w:sz="4" w:space="0" w:color="auto"/>
              <w:left w:val="nil"/>
              <w:bottom w:val="single" w:sz="4" w:space="0" w:color="auto"/>
              <w:right w:val="nil"/>
            </w:tcBorders>
          </w:tcPr>
          <w:p w14:paraId="57B21344" w14:textId="578E8D2C" w:rsidR="00726233" w:rsidRPr="00726233" w:rsidRDefault="00726233" w:rsidP="00C40B76">
            <w:pPr>
              <w:rPr>
                <w:rFonts w:ascii="Arial" w:hAnsi="Arial" w:cs="Arial"/>
                <w:b/>
                <w:bCs/>
                <w:sz w:val="20"/>
                <w:szCs w:val="20"/>
              </w:rPr>
            </w:pPr>
            <w:r w:rsidRPr="00726233">
              <w:rPr>
                <w:rFonts w:ascii="Arial" w:hAnsi="Arial" w:cs="Arial"/>
                <w:b/>
                <w:bCs/>
                <w:sz w:val="20"/>
                <w:szCs w:val="20"/>
              </w:rPr>
              <w:t>Target trial</w:t>
            </w:r>
          </w:p>
        </w:tc>
        <w:tc>
          <w:tcPr>
            <w:tcW w:w="4508" w:type="dxa"/>
            <w:tcBorders>
              <w:top w:val="single" w:sz="4" w:space="0" w:color="auto"/>
              <w:left w:val="nil"/>
              <w:bottom w:val="single" w:sz="4" w:space="0" w:color="auto"/>
              <w:right w:val="nil"/>
            </w:tcBorders>
          </w:tcPr>
          <w:p w14:paraId="659A064C" w14:textId="293240F6" w:rsidR="00726233" w:rsidRPr="00726233" w:rsidRDefault="00726233" w:rsidP="00C40B76">
            <w:pPr>
              <w:rPr>
                <w:rFonts w:ascii="Arial" w:hAnsi="Arial" w:cs="Arial"/>
                <w:b/>
                <w:bCs/>
                <w:sz w:val="20"/>
                <w:szCs w:val="20"/>
              </w:rPr>
            </w:pPr>
            <w:r w:rsidRPr="00726233">
              <w:rPr>
                <w:rFonts w:ascii="Arial" w:hAnsi="Arial" w:cs="Arial"/>
                <w:b/>
                <w:bCs/>
                <w:sz w:val="20"/>
                <w:szCs w:val="20"/>
              </w:rPr>
              <w:t>Emulated trial</w:t>
            </w:r>
          </w:p>
        </w:tc>
      </w:tr>
      <w:tr w:rsidR="007D689E" w:rsidRPr="00EE69B1" w14:paraId="3DA6DC18" w14:textId="77777777" w:rsidTr="00C40B76">
        <w:tc>
          <w:tcPr>
            <w:tcW w:w="4508" w:type="dxa"/>
            <w:tcBorders>
              <w:top w:val="single" w:sz="4" w:space="0" w:color="auto"/>
              <w:left w:val="nil"/>
              <w:bottom w:val="single" w:sz="4" w:space="0" w:color="auto"/>
              <w:right w:val="nil"/>
            </w:tcBorders>
          </w:tcPr>
          <w:p w14:paraId="657EDD95" w14:textId="77777777" w:rsidR="007D689E" w:rsidRPr="00EE69B1" w:rsidRDefault="007D689E" w:rsidP="00C40B76">
            <w:pPr>
              <w:rPr>
                <w:rFonts w:ascii="Arial" w:hAnsi="Arial" w:cs="Arial"/>
                <w:sz w:val="20"/>
                <w:szCs w:val="20"/>
              </w:rPr>
            </w:pPr>
            <w:r w:rsidRPr="00EE69B1">
              <w:rPr>
                <w:rFonts w:ascii="Arial" w:hAnsi="Arial" w:cs="Arial"/>
                <w:sz w:val="20"/>
                <w:szCs w:val="20"/>
              </w:rPr>
              <w:t>Primary outcomes:</w:t>
            </w:r>
          </w:p>
          <w:p w14:paraId="530C8E02" w14:textId="77777777" w:rsidR="009D2CBD" w:rsidRDefault="001F0930" w:rsidP="001A3E2E">
            <w:pPr>
              <w:pStyle w:val="ListParagraph"/>
              <w:numPr>
                <w:ilvl w:val="0"/>
                <w:numId w:val="29"/>
              </w:numPr>
              <w:rPr>
                <w:rFonts w:ascii="Arial" w:hAnsi="Arial" w:cs="Arial"/>
                <w:sz w:val="20"/>
                <w:szCs w:val="20"/>
              </w:rPr>
            </w:pPr>
            <w:r w:rsidRPr="009D2CBD">
              <w:rPr>
                <w:rFonts w:ascii="Arial" w:hAnsi="Arial" w:cs="Arial"/>
                <w:sz w:val="20"/>
                <w:szCs w:val="20"/>
              </w:rPr>
              <w:t xml:space="preserve">Change </w:t>
            </w:r>
            <w:r w:rsidR="007D689E" w:rsidRPr="009D2CBD">
              <w:rPr>
                <w:rFonts w:ascii="Arial" w:hAnsi="Arial" w:cs="Arial"/>
                <w:sz w:val="20"/>
                <w:szCs w:val="20"/>
              </w:rPr>
              <w:t>from baseline in FEV</w:t>
            </w:r>
            <w:r w:rsidR="007D689E" w:rsidRPr="009D2CBD">
              <w:rPr>
                <w:rFonts w:ascii="Arial" w:hAnsi="Arial" w:cs="Arial"/>
                <w:sz w:val="20"/>
                <w:szCs w:val="20"/>
                <w:vertAlign w:val="subscript"/>
              </w:rPr>
              <w:t>1</w:t>
            </w:r>
            <w:r w:rsidR="007D689E" w:rsidRPr="009D2CBD">
              <w:rPr>
                <w:rFonts w:ascii="Arial" w:hAnsi="Arial" w:cs="Arial"/>
                <w:sz w:val="20"/>
                <w:szCs w:val="20"/>
              </w:rPr>
              <w:t xml:space="preserve">% at day </w:t>
            </w:r>
            <w:r w:rsidRPr="009D2CBD">
              <w:rPr>
                <w:rFonts w:ascii="Arial" w:hAnsi="Arial" w:cs="Arial"/>
                <w:sz w:val="20"/>
                <w:szCs w:val="20"/>
              </w:rPr>
              <w:t>168</w:t>
            </w:r>
            <w:r w:rsidR="007D689E" w:rsidRPr="009D2CBD">
              <w:rPr>
                <w:rFonts w:ascii="Arial" w:hAnsi="Arial" w:cs="Arial"/>
                <w:sz w:val="20"/>
                <w:szCs w:val="20"/>
              </w:rPr>
              <w:t xml:space="preserve"> (calculated using Knudson equations)</w:t>
            </w:r>
          </w:p>
          <w:p w14:paraId="69F3BA0D" w14:textId="02215027" w:rsidR="007D689E" w:rsidRPr="009D2CBD" w:rsidRDefault="00E24177" w:rsidP="001A3E2E">
            <w:pPr>
              <w:pStyle w:val="ListParagraph"/>
              <w:numPr>
                <w:ilvl w:val="0"/>
                <w:numId w:val="29"/>
              </w:numPr>
              <w:rPr>
                <w:rFonts w:ascii="Arial" w:hAnsi="Arial" w:cs="Arial"/>
                <w:sz w:val="20"/>
                <w:szCs w:val="20"/>
              </w:rPr>
            </w:pPr>
            <w:r w:rsidRPr="009D2CBD">
              <w:rPr>
                <w:rFonts w:ascii="Arial" w:hAnsi="Arial" w:cs="Arial"/>
                <w:sz w:val="20"/>
                <w:szCs w:val="20"/>
              </w:rPr>
              <w:lastRenderedPageBreak/>
              <w:t>Safety, as determined by adverse events including:</w:t>
            </w:r>
          </w:p>
          <w:p w14:paraId="69E061A7" w14:textId="5FC7F62C" w:rsidR="00E24177" w:rsidRDefault="00B7630F" w:rsidP="004B2C05">
            <w:pPr>
              <w:pStyle w:val="ListParagraph"/>
              <w:numPr>
                <w:ilvl w:val="1"/>
                <w:numId w:val="1"/>
              </w:numPr>
              <w:rPr>
                <w:rFonts w:ascii="Arial" w:hAnsi="Arial" w:cs="Arial"/>
                <w:sz w:val="20"/>
                <w:szCs w:val="20"/>
              </w:rPr>
            </w:pPr>
            <w:r>
              <w:rPr>
                <w:rFonts w:ascii="Arial" w:hAnsi="Arial" w:cs="Arial"/>
                <w:sz w:val="20"/>
                <w:szCs w:val="20"/>
              </w:rPr>
              <w:t>Self-reported symptoms</w:t>
            </w:r>
          </w:p>
          <w:p w14:paraId="3497ACB1" w14:textId="4A1901A2" w:rsidR="00B7630F" w:rsidRDefault="00B7630F" w:rsidP="004B2C05">
            <w:pPr>
              <w:pStyle w:val="ListParagraph"/>
              <w:numPr>
                <w:ilvl w:val="1"/>
                <w:numId w:val="1"/>
              </w:numPr>
              <w:rPr>
                <w:rFonts w:ascii="Arial" w:hAnsi="Arial" w:cs="Arial"/>
                <w:sz w:val="20"/>
                <w:szCs w:val="20"/>
              </w:rPr>
            </w:pPr>
            <w:r>
              <w:rPr>
                <w:rFonts w:ascii="Arial" w:hAnsi="Arial" w:cs="Arial"/>
                <w:sz w:val="20"/>
                <w:szCs w:val="20"/>
              </w:rPr>
              <w:t>Physical findings</w:t>
            </w:r>
          </w:p>
          <w:p w14:paraId="5BF3CA48" w14:textId="19D0ABEC" w:rsidR="00B7630F" w:rsidRDefault="00B7630F" w:rsidP="004B2C05">
            <w:pPr>
              <w:pStyle w:val="ListParagraph"/>
              <w:numPr>
                <w:ilvl w:val="1"/>
                <w:numId w:val="1"/>
              </w:numPr>
              <w:rPr>
                <w:rFonts w:ascii="Arial" w:hAnsi="Arial" w:cs="Arial"/>
                <w:sz w:val="20"/>
                <w:szCs w:val="20"/>
              </w:rPr>
            </w:pPr>
            <w:r>
              <w:rPr>
                <w:rFonts w:ascii="Arial" w:hAnsi="Arial" w:cs="Arial"/>
                <w:sz w:val="20"/>
                <w:szCs w:val="20"/>
              </w:rPr>
              <w:t>Laboratory tests</w:t>
            </w:r>
          </w:p>
          <w:p w14:paraId="07B02793" w14:textId="2DED825E" w:rsidR="00B7630F" w:rsidRDefault="00B7630F" w:rsidP="004B2C05">
            <w:pPr>
              <w:pStyle w:val="ListParagraph"/>
              <w:numPr>
                <w:ilvl w:val="1"/>
                <w:numId w:val="1"/>
              </w:numPr>
              <w:rPr>
                <w:rFonts w:ascii="Arial" w:hAnsi="Arial" w:cs="Arial"/>
                <w:sz w:val="20"/>
                <w:szCs w:val="20"/>
              </w:rPr>
            </w:pPr>
            <w:r>
              <w:rPr>
                <w:rFonts w:ascii="Arial" w:hAnsi="Arial" w:cs="Arial"/>
                <w:sz w:val="20"/>
                <w:szCs w:val="20"/>
              </w:rPr>
              <w:t xml:space="preserve">Audiology </w:t>
            </w:r>
          </w:p>
          <w:p w14:paraId="598EA4B8" w14:textId="720F9E9A" w:rsidR="00B7630F" w:rsidRPr="00EE69B1" w:rsidRDefault="00B7630F" w:rsidP="004B2C05">
            <w:pPr>
              <w:pStyle w:val="ListParagraph"/>
              <w:numPr>
                <w:ilvl w:val="1"/>
                <w:numId w:val="1"/>
              </w:numPr>
              <w:rPr>
                <w:rFonts w:ascii="Arial" w:hAnsi="Arial" w:cs="Arial"/>
                <w:sz w:val="20"/>
                <w:szCs w:val="20"/>
              </w:rPr>
            </w:pPr>
            <w:r>
              <w:rPr>
                <w:rFonts w:ascii="Arial" w:hAnsi="Arial" w:cs="Arial"/>
                <w:sz w:val="20"/>
                <w:szCs w:val="20"/>
              </w:rPr>
              <w:t>Microbiology</w:t>
            </w:r>
          </w:p>
          <w:p w14:paraId="4635853A" w14:textId="77777777" w:rsidR="007D689E" w:rsidRPr="00EE69B1" w:rsidRDefault="007D689E" w:rsidP="00C40B76">
            <w:pPr>
              <w:rPr>
                <w:rFonts w:ascii="Arial" w:hAnsi="Arial" w:cs="Arial"/>
                <w:sz w:val="20"/>
                <w:szCs w:val="20"/>
              </w:rPr>
            </w:pPr>
          </w:p>
          <w:p w14:paraId="0E44C941" w14:textId="13014DEF" w:rsidR="007D689E" w:rsidRPr="00EE69B1" w:rsidRDefault="007D689E" w:rsidP="00C40B76">
            <w:pPr>
              <w:rPr>
                <w:rFonts w:ascii="Arial" w:hAnsi="Arial" w:cs="Arial"/>
                <w:sz w:val="20"/>
                <w:szCs w:val="20"/>
              </w:rPr>
            </w:pPr>
            <w:r w:rsidRPr="00EE69B1">
              <w:rPr>
                <w:rFonts w:ascii="Arial" w:hAnsi="Arial" w:cs="Arial"/>
                <w:sz w:val="20"/>
                <w:szCs w:val="20"/>
              </w:rPr>
              <w:t>Secondary outcomes</w:t>
            </w:r>
            <w:r w:rsidR="00C423BC">
              <w:rPr>
                <w:rFonts w:ascii="Arial" w:hAnsi="Arial" w:cs="Arial"/>
                <w:sz w:val="20"/>
                <w:szCs w:val="20"/>
              </w:rPr>
              <w:t>:</w:t>
            </w:r>
          </w:p>
          <w:p w14:paraId="0A8E169E" w14:textId="77777777" w:rsidR="00C423BC" w:rsidRDefault="00B7630F" w:rsidP="001A3E2E">
            <w:pPr>
              <w:pStyle w:val="ListParagraph"/>
              <w:numPr>
                <w:ilvl w:val="0"/>
                <w:numId w:val="30"/>
              </w:numPr>
              <w:rPr>
                <w:rFonts w:ascii="Arial" w:hAnsi="Arial" w:cs="Arial"/>
                <w:sz w:val="20"/>
                <w:szCs w:val="20"/>
              </w:rPr>
            </w:pPr>
            <w:r w:rsidRPr="00C423BC">
              <w:rPr>
                <w:rFonts w:ascii="Arial" w:hAnsi="Arial" w:cs="Arial"/>
                <w:sz w:val="20"/>
                <w:szCs w:val="20"/>
              </w:rPr>
              <w:t>Change in FVC</w:t>
            </w:r>
            <w:r w:rsidRPr="00C423BC">
              <w:rPr>
                <w:rFonts w:ascii="Arial" w:hAnsi="Arial" w:cs="Arial"/>
                <w:sz w:val="20"/>
                <w:szCs w:val="20"/>
                <w:vertAlign w:val="subscript"/>
              </w:rPr>
              <w:t>1</w:t>
            </w:r>
            <w:r w:rsidRPr="00C423BC">
              <w:rPr>
                <w:rFonts w:ascii="Arial" w:hAnsi="Arial" w:cs="Arial"/>
                <w:sz w:val="20"/>
                <w:szCs w:val="20"/>
              </w:rPr>
              <w:t>%</w:t>
            </w:r>
          </w:p>
          <w:p w14:paraId="40142F17" w14:textId="77777777" w:rsidR="00C423BC" w:rsidRDefault="00B7630F" w:rsidP="001A3E2E">
            <w:pPr>
              <w:pStyle w:val="ListParagraph"/>
              <w:numPr>
                <w:ilvl w:val="0"/>
                <w:numId w:val="30"/>
              </w:numPr>
              <w:rPr>
                <w:rFonts w:ascii="Arial" w:hAnsi="Arial" w:cs="Arial"/>
                <w:sz w:val="20"/>
                <w:szCs w:val="20"/>
              </w:rPr>
            </w:pPr>
            <w:r w:rsidRPr="00C423BC">
              <w:rPr>
                <w:rFonts w:ascii="Arial" w:hAnsi="Arial" w:cs="Arial"/>
                <w:sz w:val="20"/>
                <w:szCs w:val="20"/>
              </w:rPr>
              <w:t>Change in body weight</w:t>
            </w:r>
          </w:p>
          <w:p w14:paraId="53D68E15" w14:textId="77777777" w:rsidR="00C423BC" w:rsidRDefault="00B7630F" w:rsidP="001A3E2E">
            <w:pPr>
              <w:pStyle w:val="ListParagraph"/>
              <w:numPr>
                <w:ilvl w:val="0"/>
                <w:numId w:val="30"/>
              </w:numPr>
              <w:rPr>
                <w:rFonts w:ascii="Arial" w:hAnsi="Arial" w:cs="Arial"/>
                <w:sz w:val="20"/>
                <w:szCs w:val="20"/>
              </w:rPr>
            </w:pPr>
            <w:r w:rsidRPr="00C423BC">
              <w:rPr>
                <w:rFonts w:ascii="Arial" w:hAnsi="Arial" w:cs="Arial"/>
                <w:sz w:val="20"/>
                <w:szCs w:val="20"/>
              </w:rPr>
              <w:t xml:space="preserve">Time until first pulmonary exacerbation. </w:t>
            </w:r>
          </w:p>
          <w:p w14:paraId="3AD3A068" w14:textId="77777777" w:rsidR="00C423BC" w:rsidRDefault="00B7630F" w:rsidP="001A3E2E">
            <w:pPr>
              <w:pStyle w:val="ListParagraph"/>
              <w:numPr>
                <w:ilvl w:val="0"/>
                <w:numId w:val="30"/>
              </w:numPr>
              <w:rPr>
                <w:rFonts w:ascii="Arial" w:hAnsi="Arial" w:cs="Arial"/>
                <w:sz w:val="20"/>
                <w:szCs w:val="20"/>
              </w:rPr>
            </w:pPr>
            <w:r w:rsidRPr="00C423BC">
              <w:rPr>
                <w:rFonts w:ascii="Arial" w:hAnsi="Arial" w:cs="Arial"/>
                <w:sz w:val="20"/>
                <w:szCs w:val="20"/>
              </w:rPr>
              <w:t>Number of pulmonary e</w:t>
            </w:r>
            <w:r w:rsidR="00216E58" w:rsidRPr="00C423BC">
              <w:rPr>
                <w:rFonts w:ascii="Arial" w:hAnsi="Arial" w:cs="Arial"/>
                <w:sz w:val="20"/>
                <w:szCs w:val="20"/>
              </w:rPr>
              <w:t xml:space="preserve">xacerbations. </w:t>
            </w:r>
          </w:p>
          <w:p w14:paraId="3B354C14" w14:textId="77777777" w:rsidR="00C423BC" w:rsidRDefault="00216E58" w:rsidP="001A3E2E">
            <w:pPr>
              <w:pStyle w:val="ListParagraph"/>
              <w:numPr>
                <w:ilvl w:val="0"/>
                <w:numId w:val="30"/>
              </w:numPr>
              <w:rPr>
                <w:rFonts w:ascii="Arial" w:hAnsi="Arial" w:cs="Arial"/>
                <w:sz w:val="20"/>
                <w:szCs w:val="20"/>
              </w:rPr>
            </w:pPr>
            <w:r w:rsidRPr="00C423BC">
              <w:rPr>
                <w:rFonts w:ascii="Arial" w:hAnsi="Arial" w:cs="Arial"/>
                <w:sz w:val="20"/>
                <w:szCs w:val="20"/>
              </w:rPr>
              <w:t>Hospitalisation rates.</w:t>
            </w:r>
          </w:p>
          <w:p w14:paraId="6C8F97D2" w14:textId="7264E0FE" w:rsidR="00C423BC" w:rsidRDefault="00216E58" w:rsidP="001A3E2E">
            <w:pPr>
              <w:pStyle w:val="ListParagraph"/>
              <w:numPr>
                <w:ilvl w:val="0"/>
                <w:numId w:val="30"/>
              </w:numPr>
              <w:rPr>
                <w:rFonts w:ascii="Arial" w:hAnsi="Arial" w:cs="Arial"/>
                <w:sz w:val="20"/>
                <w:szCs w:val="20"/>
              </w:rPr>
            </w:pPr>
            <w:r w:rsidRPr="00C423BC">
              <w:rPr>
                <w:rFonts w:ascii="Arial" w:hAnsi="Arial" w:cs="Arial"/>
                <w:sz w:val="20"/>
                <w:szCs w:val="20"/>
              </w:rPr>
              <w:t>Use of non</w:t>
            </w:r>
            <w:r w:rsidR="002246C3">
              <w:rPr>
                <w:rFonts w:ascii="Arial" w:hAnsi="Arial" w:cs="Arial"/>
                <w:sz w:val="20"/>
                <w:szCs w:val="20"/>
              </w:rPr>
              <w:t>-</w:t>
            </w:r>
            <w:r w:rsidRPr="00C423BC">
              <w:rPr>
                <w:rFonts w:ascii="Arial" w:hAnsi="Arial" w:cs="Arial"/>
                <w:sz w:val="20"/>
                <w:szCs w:val="20"/>
              </w:rPr>
              <w:t>quinolone oral antibiotics.</w:t>
            </w:r>
          </w:p>
          <w:p w14:paraId="229E22FB" w14:textId="77777777" w:rsidR="00C423BC" w:rsidRDefault="00216E58" w:rsidP="001A3E2E">
            <w:pPr>
              <w:pStyle w:val="ListParagraph"/>
              <w:numPr>
                <w:ilvl w:val="0"/>
                <w:numId w:val="30"/>
              </w:numPr>
              <w:rPr>
                <w:rFonts w:ascii="Arial" w:hAnsi="Arial" w:cs="Arial"/>
                <w:sz w:val="20"/>
                <w:szCs w:val="20"/>
              </w:rPr>
            </w:pPr>
            <w:r w:rsidRPr="00C423BC">
              <w:rPr>
                <w:rFonts w:ascii="Arial" w:hAnsi="Arial" w:cs="Arial"/>
                <w:sz w:val="20"/>
                <w:szCs w:val="20"/>
              </w:rPr>
              <w:t>Changes in inflammatory markers.</w:t>
            </w:r>
          </w:p>
          <w:p w14:paraId="7C48300A" w14:textId="1C05B930" w:rsidR="00216E58" w:rsidRPr="00C423BC" w:rsidRDefault="00216E58" w:rsidP="001A3E2E">
            <w:pPr>
              <w:pStyle w:val="ListParagraph"/>
              <w:numPr>
                <w:ilvl w:val="0"/>
                <w:numId w:val="30"/>
              </w:numPr>
              <w:rPr>
                <w:rFonts w:ascii="Arial" w:hAnsi="Arial" w:cs="Arial"/>
                <w:sz w:val="20"/>
                <w:szCs w:val="20"/>
              </w:rPr>
            </w:pPr>
            <w:r w:rsidRPr="00C423BC">
              <w:rPr>
                <w:rFonts w:ascii="Arial" w:hAnsi="Arial" w:cs="Arial"/>
                <w:sz w:val="20"/>
                <w:szCs w:val="20"/>
              </w:rPr>
              <w:t xml:space="preserve">Quality of life. </w:t>
            </w:r>
          </w:p>
          <w:p w14:paraId="7857D553" w14:textId="77777777" w:rsidR="00CB2E8D" w:rsidRDefault="00CB2E8D" w:rsidP="00CB2E8D">
            <w:pPr>
              <w:rPr>
                <w:rFonts w:ascii="Arial" w:hAnsi="Arial" w:cs="Arial"/>
                <w:sz w:val="20"/>
                <w:szCs w:val="20"/>
              </w:rPr>
            </w:pPr>
          </w:p>
          <w:p w14:paraId="52351C0A" w14:textId="3FA06ECB" w:rsidR="00CB2E8D" w:rsidRPr="00CB2E8D" w:rsidRDefault="00CB2E8D" w:rsidP="00CB2E8D">
            <w:pPr>
              <w:rPr>
                <w:rFonts w:ascii="Arial" w:hAnsi="Arial" w:cs="Arial"/>
                <w:sz w:val="20"/>
                <w:szCs w:val="20"/>
              </w:rPr>
            </w:pPr>
            <w:r>
              <w:rPr>
                <w:rFonts w:ascii="Arial" w:hAnsi="Arial" w:cs="Arial"/>
                <w:sz w:val="20"/>
                <w:szCs w:val="20"/>
              </w:rPr>
              <w:t xml:space="preserve">Exacerbations were defined as the use of intravenous antipseudomonal antibiotics or oral quinolones for 7 or more days. </w:t>
            </w:r>
          </w:p>
        </w:tc>
        <w:tc>
          <w:tcPr>
            <w:tcW w:w="4508" w:type="dxa"/>
            <w:tcBorders>
              <w:top w:val="single" w:sz="4" w:space="0" w:color="auto"/>
              <w:left w:val="nil"/>
              <w:bottom w:val="single" w:sz="4" w:space="0" w:color="auto"/>
              <w:right w:val="nil"/>
            </w:tcBorders>
          </w:tcPr>
          <w:p w14:paraId="5A819402" w14:textId="77777777" w:rsidR="007D689E" w:rsidRPr="00EE69B1" w:rsidRDefault="007D689E" w:rsidP="00C40B76">
            <w:pPr>
              <w:rPr>
                <w:rFonts w:ascii="Arial" w:hAnsi="Arial" w:cs="Arial"/>
                <w:sz w:val="20"/>
                <w:szCs w:val="20"/>
              </w:rPr>
            </w:pPr>
            <w:r w:rsidRPr="00EE69B1">
              <w:rPr>
                <w:rFonts w:ascii="Arial" w:hAnsi="Arial" w:cs="Arial"/>
                <w:sz w:val="20"/>
                <w:szCs w:val="20"/>
              </w:rPr>
              <w:lastRenderedPageBreak/>
              <w:t xml:space="preserve">Primary outcomes: </w:t>
            </w:r>
          </w:p>
          <w:p w14:paraId="798B264C" w14:textId="105E13EB" w:rsidR="007D689E" w:rsidRDefault="007D689E" w:rsidP="001A3E2E">
            <w:pPr>
              <w:pStyle w:val="ListParagraph"/>
              <w:numPr>
                <w:ilvl w:val="0"/>
                <w:numId w:val="31"/>
              </w:numPr>
              <w:rPr>
                <w:rFonts w:ascii="Arial" w:hAnsi="Arial" w:cs="Arial"/>
                <w:sz w:val="20"/>
                <w:szCs w:val="20"/>
              </w:rPr>
            </w:pPr>
            <w:r w:rsidRPr="00C423BC">
              <w:rPr>
                <w:rFonts w:ascii="Arial" w:hAnsi="Arial" w:cs="Arial"/>
                <w:sz w:val="20"/>
                <w:szCs w:val="20"/>
              </w:rPr>
              <w:t>Same as target trial</w:t>
            </w:r>
            <w:r w:rsidR="00C423BC">
              <w:rPr>
                <w:rFonts w:ascii="Arial" w:hAnsi="Arial" w:cs="Arial"/>
                <w:sz w:val="20"/>
                <w:szCs w:val="20"/>
              </w:rPr>
              <w:t xml:space="preserve">. </w:t>
            </w:r>
          </w:p>
          <w:p w14:paraId="7AE9F67D" w14:textId="1720E943" w:rsidR="00C423BC" w:rsidRPr="00C423BC" w:rsidRDefault="00210786" w:rsidP="001A3E2E">
            <w:pPr>
              <w:pStyle w:val="ListParagraph"/>
              <w:numPr>
                <w:ilvl w:val="0"/>
                <w:numId w:val="31"/>
              </w:numPr>
              <w:rPr>
                <w:rFonts w:ascii="Arial" w:hAnsi="Arial" w:cs="Arial"/>
                <w:sz w:val="20"/>
                <w:szCs w:val="20"/>
              </w:rPr>
            </w:pPr>
            <w:r>
              <w:rPr>
                <w:rFonts w:ascii="Arial" w:hAnsi="Arial" w:cs="Arial"/>
                <w:sz w:val="20"/>
                <w:szCs w:val="20"/>
              </w:rPr>
              <w:lastRenderedPageBreak/>
              <w:t xml:space="preserve">Safety, as determined by hearing loss. The remaining safety outcomes in the target trial are not recorded in the UK CF Registry. </w:t>
            </w:r>
          </w:p>
          <w:p w14:paraId="2C67EC4E" w14:textId="77777777" w:rsidR="007D689E" w:rsidRDefault="007D689E" w:rsidP="00C40B76">
            <w:pPr>
              <w:rPr>
                <w:rFonts w:ascii="Arial" w:hAnsi="Arial" w:cs="Arial"/>
                <w:sz w:val="20"/>
                <w:szCs w:val="20"/>
              </w:rPr>
            </w:pPr>
          </w:p>
          <w:p w14:paraId="119405D4" w14:textId="77777777" w:rsidR="00210786" w:rsidRPr="00EE69B1" w:rsidRDefault="00210786" w:rsidP="00C40B76">
            <w:pPr>
              <w:rPr>
                <w:rFonts w:ascii="Arial" w:hAnsi="Arial" w:cs="Arial"/>
                <w:sz w:val="20"/>
                <w:szCs w:val="20"/>
              </w:rPr>
            </w:pPr>
          </w:p>
          <w:p w14:paraId="29E14281" w14:textId="77777777" w:rsidR="007D689E" w:rsidRPr="00EE69B1" w:rsidRDefault="007D689E" w:rsidP="00C40B76">
            <w:pPr>
              <w:rPr>
                <w:rFonts w:ascii="Arial" w:hAnsi="Arial" w:cs="Arial"/>
                <w:sz w:val="20"/>
                <w:szCs w:val="20"/>
              </w:rPr>
            </w:pPr>
          </w:p>
          <w:p w14:paraId="41C1245B" w14:textId="77777777" w:rsidR="007D689E" w:rsidRPr="00EE69B1" w:rsidRDefault="007D689E" w:rsidP="00C40B76">
            <w:pPr>
              <w:rPr>
                <w:rFonts w:ascii="Arial" w:hAnsi="Arial" w:cs="Arial"/>
                <w:sz w:val="20"/>
                <w:szCs w:val="20"/>
              </w:rPr>
            </w:pPr>
          </w:p>
          <w:p w14:paraId="299C9A91" w14:textId="77777777" w:rsidR="007D689E" w:rsidRDefault="007D689E" w:rsidP="00C40B76">
            <w:pPr>
              <w:rPr>
                <w:rFonts w:ascii="Arial" w:hAnsi="Arial" w:cs="Arial"/>
                <w:sz w:val="20"/>
                <w:szCs w:val="20"/>
              </w:rPr>
            </w:pPr>
          </w:p>
          <w:p w14:paraId="1606C30C" w14:textId="77777777" w:rsidR="00C423BC" w:rsidRPr="00EE69B1" w:rsidRDefault="00C423BC" w:rsidP="00C40B76">
            <w:pPr>
              <w:rPr>
                <w:rFonts w:ascii="Arial" w:hAnsi="Arial" w:cs="Arial"/>
                <w:sz w:val="20"/>
                <w:szCs w:val="20"/>
              </w:rPr>
            </w:pPr>
          </w:p>
          <w:p w14:paraId="77E2688A" w14:textId="77777777" w:rsidR="007D689E" w:rsidRPr="00EE69B1" w:rsidRDefault="007D689E" w:rsidP="00C40B76">
            <w:pPr>
              <w:rPr>
                <w:rFonts w:ascii="Arial" w:hAnsi="Arial" w:cs="Arial"/>
                <w:sz w:val="20"/>
                <w:szCs w:val="20"/>
              </w:rPr>
            </w:pPr>
            <w:r w:rsidRPr="00EE69B1">
              <w:rPr>
                <w:rFonts w:ascii="Arial" w:hAnsi="Arial" w:cs="Arial"/>
                <w:sz w:val="20"/>
                <w:szCs w:val="20"/>
              </w:rPr>
              <w:t>Secondary outcomes:</w:t>
            </w:r>
          </w:p>
          <w:p w14:paraId="11B4B60C" w14:textId="77777777" w:rsidR="007D689E" w:rsidRDefault="007D689E" w:rsidP="001A3E2E">
            <w:pPr>
              <w:pStyle w:val="ListParagraph"/>
              <w:numPr>
                <w:ilvl w:val="0"/>
                <w:numId w:val="32"/>
              </w:numPr>
              <w:rPr>
                <w:rFonts w:ascii="Arial" w:hAnsi="Arial" w:cs="Arial"/>
                <w:sz w:val="20"/>
                <w:szCs w:val="20"/>
              </w:rPr>
            </w:pPr>
            <w:r w:rsidRPr="00C423BC">
              <w:rPr>
                <w:rFonts w:ascii="Arial" w:hAnsi="Arial" w:cs="Arial"/>
                <w:sz w:val="20"/>
                <w:szCs w:val="20"/>
              </w:rPr>
              <w:t>Same as target trial</w:t>
            </w:r>
            <w:r w:rsidR="00C423BC">
              <w:rPr>
                <w:rFonts w:ascii="Arial" w:hAnsi="Arial" w:cs="Arial"/>
                <w:sz w:val="20"/>
                <w:szCs w:val="20"/>
              </w:rPr>
              <w:t>.</w:t>
            </w:r>
            <w:r w:rsidRPr="00C423BC">
              <w:rPr>
                <w:rFonts w:ascii="Arial" w:hAnsi="Arial" w:cs="Arial"/>
                <w:sz w:val="20"/>
                <w:szCs w:val="20"/>
              </w:rPr>
              <w:t xml:space="preserve"> </w:t>
            </w:r>
          </w:p>
          <w:p w14:paraId="3ED9D13D" w14:textId="77777777" w:rsidR="00C423BC" w:rsidRDefault="00C423BC" w:rsidP="001A3E2E">
            <w:pPr>
              <w:pStyle w:val="ListParagraph"/>
              <w:numPr>
                <w:ilvl w:val="0"/>
                <w:numId w:val="32"/>
              </w:numPr>
              <w:rPr>
                <w:rFonts w:ascii="Arial" w:hAnsi="Arial" w:cs="Arial"/>
                <w:sz w:val="20"/>
                <w:szCs w:val="20"/>
              </w:rPr>
            </w:pPr>
            <w:r>
              <w:rPr>
                <w:rFonts w:ascii="Arial" w:hAnsi="Arial" w:cs="Arial"/>
                <w:sz w:val="20"/>
                <w:szCs w:val="20"/>
              </w:rPr>
              <w:t>Same as target trial.</w:t>
            </w:r>
          </w:p>
          <w:p w14:paraId="1F957FF5" w14:textId="4ADA7E16" w:rsidR="00C423BC" w:rsidRDefault="00C423BC" w:rsidP="001A3E2E">
            <w:pPr>
              <w:pStyle w:val="ListParagraph"/>
              <w:numPr>
                <w:ilvl w:val="0"/>
                <w:numId w:val="32"/>
              </w:numPr>
              <w:rPr>
                <w:rFonts w:ascii="Arial" w:hAnsi="Arial" w:cs="Arial"/>
                <w:sz w:val="20"/>
                <w:szCs w:val="20"/>
              </w:rPr>
            </w:pPr>
            <w:r>
              <w:rPr>
                <w:rFonts w:ascii="Arial" w:hAnsi="Arial" w:cs="Arial"/>
                <w:sz w:val="20"/>
                <w:szCs w:val="20"/>
              </w:rPr>
              <w:t xml:space="preserve">Time until first use of intravenous antibiotics </w:t>
            </w:r>
            <w:r w:rsidR="004C45CA">
              <w:rPr>
                <w:rFonts w:ascii="Arial" w:hAnsi="Arial" w:cs="Arial"/>
                <w:sz w:val="20"/>
                <w:szCs w:val="20"/>
              </w:rPr>
              <w:t xml:space="preserve">(for 7 days or more). </w:t>
            </w:r>
          </w:p>
          <w:p w14:paraId="6DE1479D" w14:textId="57FEA053" w:rsidR="004C45CA" w:rsidRDefault="00E727C8" w:rsidP="001A3E2E">
            <w:pPr>
              <w:pStyle w:val="ListParagraph"/>
              <w:numPr>
                <w:ilvl w:val="0"/>
                <w:numId w:val="32"/>
              </w:numPr>
              <w:rPr>
                <w:rFonts w:ascii="Arial" w:hAnsi="Arial" w:cs="Arial"/>
                <w:sz w:val="20"/>
                <w:szCs w:val="20"/>
              </w:rPr>
            </w:pPr>
            <w:r>
              <w:rPr>
                <w:rFonts w:ascii="Arial" w:hAnsi="Arial" w:cs="Arial"/>
                <w:sz w:val="20"/>
                <w:szCs w:val="20"/>
              </w:rPr>
              <w:t xml:space="preserve">Unable to emulate. </w:t>
            </w:r>
          </w:p>
          <w:p w14:paraId="5A954A76" w14:textId="10EFDDE2" w:rsidR="004C45CA" w:rsidRDefault="00E727C8" w:rsidP="001A3E2E">
            <w:pPr>
              <w:pStyle w:val="ListParagraph"/>
              <w:numPr>
                <w:ilvl w:val="0"/>
                <w:numId w:val="32"/>
              </w:numPr>
              <w:rPr>
                <w:rFonts w:ascii="Arial" w:hAnsi="Arial" w:cs="Arial"/>
                <w:sz w:val="20"/>
                <w:szCs w:val="20"/>
              </w:rPr>
            </w:pPr>
            <w:r>
              <w:rPr>
                <w:rFonts w:ascii="Arial" w:hAnsi="Arial" w:cs="Arial"/>
                <w:sz w:val="20"/>
                <w:szCs w:val="20"/>
              </w:rPr>
              <w:t>Unable to emulate.</w:t>
            </w:r>
          </w:p>
          <w:p w14:paraId="3B6EE28F" w14:textId="73D9DF72" w:rsidR="004C45CA" w:rsidRDefault="004C45CA" w:rsidP="001A3E2E">
            <w:pPr>
              <w:pStyle w:val="ListParagraph"/>
              <w:numPr>
                <w:ilvl w:val="0"/>
                <w:numId w:val="32"/>
              </w:numPr>
              <w:rPr>
                <w:rFonts w:ascii="Arial" w:hAnsi="Arial" w:cs="Arial"/>
                <w:sz w:val="20"/>
                <w:szCs w:val="20"/>
              </w:rPr>
            </w:pPr>
            <w:r>
              <w:rPr>
                <w:rFonts w:ascii="Arial" w:hAnsi="Arial" w:cs="Arial"/>
                <w:sz w:val="20"/>
                <w:szCs w:val="20"/>
              </w:rPr>
              <w:t>Unable to emulate.</w:t>
            </w:r>
          </w:p>
          <w:p w14:paraId="1CCC382F" w14:textId="0488CC6B" w:rsidR="004C45CA" w:rsidRDefault="004C45CA" w:rsidP="001A3E2E">
            <w:pPr>
              <w:pStyle w:val="ListParagraph"/>
              <w:numPr>
                <w:ilvl w:val="0"/>
                <w:numId w:val="32"/>
              </w:numPr>
              <w:rPr>
                <w:rFonts w:ascii="Arial" w:hAnsi="Arial" w:cs="Arial"/>
                <w:sz w:val="20"/>
                <w:szCs w:val="20"/>
              </w:rPr>
            </w:pPr>
            <w:r>
              <w:rPr>
                <w:rFonts w:ascii="Arial" w:hAnsi="Arial" w:cs="Arial"/>
                <w:sz w:val="20"/>
                <w:szCs w:val="20"/>
              </w:rPr>
              <w:t>Unable to emulate.</w:t>
            </w:r>
          </w:p>
          <w:p w14:paraId="7948CD94" w14:textId="39046B04" w:rsidR="004C45CA" w:rsidRDefault="004C45CA" w:rsidP="001A3E2E">
            <w:pPr>
              <w:pStyle w:val="ListParagraph"/>
              <w:numPr>
                <w:ilvl w:val="0"/>
                <w:numId w:val="32"/>
              </w:numPr>
              <w:rPr>
                <w:rFonts w:ascii="Arial" w:hAnsi="Arial" w:cs="Arial"/>
                <w:sz w:val="20"/>
                <w:szCs w:val="20"/>
              </w:rPr>
            </w:pPr>
            <w:r>
              <w:rPr>
                <w:rFonts w:ascii="Arial" w:hAnsi="Arial" w:cs="Arial"/>
                <w:sz w:val="20"/>
                <w:szCs w:val="20"/>
              </w:rPr>
              <w:t xml:space="preserve">Unable to emulate. </w:t>
            </w:r>
          </w:p>
          <w:p w14:paraId="0D63830A" w14:textId="0C7B4AEB" w:rsidR="004C45CA" w:rsidRPr="00C423BC" w:rsidRDefault="004C45CA" w:rsidP="004C45CA">
            <w:pPr>
              <w:pStyle w:val="ListParagraph"/>
              <w:ind w:left="360"/>
              <w:rPr>
                <w:rFonts w:ascii="Arial" w:hAnsi="Arial" w:cs="Arial"/>
                <w:sz w:val="20"/>
                <w:szCs w:val="20"/>
              </w:rPr>
            </w:pPr>
          </w:p>
        </w:tc>
      </w:tr>
    </w:tbl>
    <w:p w14:paraId="455646CE" w14:textId="77777777" w:rsidR="007D689E" w:rsidRDefault="007D689E" w:rsidP="007D689E"/>
    <w:p w14:paraId="40EB36FE" w14:textId="4DC22C6A" w:rsidR="00352A74" w:rsidRPr="00287F82" w:rsidRDefault="00247F83" w:rsidP="009E0411">
      <w:pPr>
        <w:pStyle w:val="Heading2"/>
      </w:pPr>
      <w:r>
        <w:t>4.</w:t>
      </w:r>
      <w:r w:rsidR="00121AF5">
        <w:t>6</w:t>
      </w:r>
      <w:r>
        <w:t xml:space="preserve"> </w:t>
      </w:r>
      <w:r w:rsidR="00352A74">
        <w:t xml:space="preserve">Statistical Analysis Plan </w:t>
      </w:r>
    </w:p>
    <w:p w14:paraId="1EE768DF" w14:textId="2673CF58" w:rsidR="009E0411" w:rsidRPr="00392EA1" w:rsidRDefault="00121AF5" w:rsidP="00893F5F">
      <w:pPr>
        <w:pStyle w:val="Heading3"/>
      </w:pPr>
      <w:r>
        <w:t xml:space="preserve">4.6.1 </w:t>
      </w:r>
      <w:r w:rsidR="009E0411" w:rsidRPr="00392EA1">
        <w:t>Notation</w:t>
      </w:r>
    </w:p>
    <w:p w14:paraId="2EAEF7A6" w14:textId="43AB0F81" w:rsidR="009E0411" w:rsidRPr="00210432" w:rsidRDefault="009E0411" w:rsidP="009E0411">
      <w:pPr>
        <w:rPr>
          <w:rFonts w:ascii="Arial" w:hAnsi="Arial" w:cs="Arial"/>
          <w:bCs/>
          <w:sz w:val="20"/>
          <w:szCs w:val="20"/>
        </w:rPr>
      </w:pPr>
      <w:r w:rsidRPr="00210432">
        <w:rPr>
          <w:rFonts w:ascii="Arial" w:hAnsi="Arial" w:cs="Arial"/>
          <w:color w:val="000000" w:themeColor="text1"/>
          <w:sz w:val="20"/>
          <w:szCs w:val="20"/>
        </w:rPr>
        <w:t xml:space="preserve">Let </w:t>
      </w:r>
      <m:oMath>
        <m:r>
          <w:rPr>
            <w:rFonts w:ascii="Cambria Math" w:hAnsi="Cambria Math" w:cs="Arial"/>
            <w:color w:val="000000" w:themeColor="text1"/>
            <w:sz w:val="20"/>
            <w:szCs w:val="20"/>
          </w:rPr>
          <m:t>A</m:t>
        </m:r>
      </m:oMath>
      <w:r w:rsidRPr="00210432">
        <w:rPr>
          <w:rFonts w:ascii="Arial" w:eastAsiaTheme="minorEastAsia" w:hAnsi="Arial" w:cs="Arial"/>
          <w:color w:val="000000" w:themeColor="text1"/>
          <w:sz w:val="20"/>
          <w:szCs w:val="20"/>
        </w:rPr>
        <w:t xml:space="preserve"> denote an indicator variable for treatment strategy (</w:t>
      </w:r>
      <m:oMath>
        <m:r>
          <w:rPr>
            <w:rFonts w:ascii="Cambria Math" w:eastAsiaTheme="minorEastAsia" w:hAnsi="Cambria Math" w:cs="Arial"/>
            <w:color w:val="000000" w:themeColor="text1"/>
            <w:sz w:val="20"/>
            <w:szCs w:val="20"/>
          </w:rPr>
          <m:t>A=1</m:t>
        </m:r>
      </m:oMath>
      <w:r w:rsidRPr="00210432">
        <w:rPr>
          <w:rFonts w:ascii="Arial" w:eastAsiaTheme="minorEastAsia" w:hAnsi="Arial" w:cs="Arial"/>
          <w:color w:val="000000" w:themeColor="text1"/>
          <w:sz w:val="20"/>
          <w:szCs w:val="20"/>
        </w:rPr>
        <w:t xml:space="preserve"> indicates </w:t>
      </w:r>
      <w:r w:rsidR="00893F5F" w:rsidRPr="00210432">
        <w:rPr>
          <w:rFonts w:ascii="Arial" w:eastAsiaTheme="minorEastAsia" w:hAnsi="Arial" w:cs="Arial"/>
          <w:color w:val="000000" w:themeColor="text1"/>
          <w:sz w:val="20"/>
          <w:szCs w:val="20"/>
        </w:rPr>
        <w:t>active treatment</w:t>
      </w:r>
      <w:r w:rsidRPr="00210432">
        <w:rPr>
          <w:rFonts w:ascii="Arial" w:eastAsiaTheme="minorEastAsia" w:hAnsi="Arial" w:cs="Arial"/>
          <w:color w:val="000000" w:themeColor="text1"/>
          <w:sz w:val="20"/>
          <w:szCs w:val="20"/>
        </w:rPr>
        <w:t xml:space="preserve"> and</w:t>
      </w:r>
      <w:r w:rsidRPr="00210432">
        <w:rPr>
          <w:rFonts w:ascii="Arial" w:eastAsiaTheme="minorEastAsia" w:hAnsi="Arial" w:cs="Arial"/>
          <w:i/>
          <w:color w:val="000000" w:themeColor="text1"/>
          <w:sz w:val="20"/>
          <w:szCs w:val="20"/>
        </w:rPr>
        <w:t xml:space="preserve"> </w:t>
      </w:r>
      <m:oMath>
        <m:r>
          <w:rPr>
            <w:rFonts w:ascii="Cambria Math" w:eastAsiaTheme="minorEastAsia" w:hAnsi="Cambria Math" w:cs="Arial"/>
            <w:color w:val="000000" w:themeColor="text1"/>
            <w:sz w:val="20"/>
            <w:szCs w:val="20"/>
          </w:rPr>
          <m:t>A=0</m:t>
        </m:r>
      </m:oMath>
      <w:r w:rsidRPr="00210432">
        <w:rPr>
          <w:rFonts w:ascii="Arial" w:eastAsiaTheme="minorEastAsia" w:hAnsi="Arial" w:cs="Arial"/>
          <w:i/>
          <w:color w:val="000000" w:themeColor="text1"/>
          <w:sz w:val="20"/>
          <w:szCs w:val="20"/>
        </w:rPr>
        <w:t xml:space="preserve"> </w:t>
      </w:r>
      <w:r w:rsidRPr="00210432">
        <w:rPr>
          <w:rFonts w:ascii="Arial" w:eastAsiaTheme="minorEastAsia" w:hAnsi="Arial" w:cs="Arial"/>
          <w:color w:val="000000" w:themeColor="text1"/>
          <w:sz w:val="20"/>
          <w:szCs w:val="20"/>
        </w:rPr>
        <w:t xml:space="preserve">indicates </w:t>
      </w:r>
      <w:r w:rsidR="00893F5F" w:rsidRPr="00210432">
        <w:rPr>
          <w:rFonts w:ascii="Arial" w:eastAsiaTheme="minorEastAsia" w:hAnsi="Arial" w:cs="Arial"/>
          <w:color w:val="000000" w:themeColor="text1"/>
          <w:sz w:val="20"/>
          <w:szCs w:val="20"/>
        </w:rPr>
        <w:t xml:space="preserve">comparator). </w:t>
      </w:r>
      <w:r w:rsidR="00484817" w:rsidRPr="00EF742C">
        <w:rPr>
          <w:rFonts w:ascii="Arial" w:hAnsi="Arial" w:cs="Arial"/>
          <w:color w:val="000000" w:themeColor="text1"/>
          <w:sz w:val="20"/>
          <w:szCs w:val="20"/>
        </w:rPr>
        <w:t xml:space="preserve">Let </w:t>
      </w:r>
      <m:oMath>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Y</m:t>
            </m:r>
          </m:e>
          <m:sub>
            <m:r>
              <w:rPr>
                <w:rFonts w:ascii="Cambria Math" w:eastAsiaTheme="minorEastAsia" w:hAnsi="Cambria Math" w:cs="Arial"/>
                <w:color w:val="000000" w:themeColor="text1"/>
                <w:sz w:val="20"/>
                <w:szCs w:val="20"/>
              </w:rPr>
              <m:t>t</m:t>
            </m:r>
          </m:sub>
        </m:sSub>
        <m:d>
          <m:dPr>
            <m:ctrlPr>
              <w:rPr>
                <w:rFonts w:ascii="Cambria Math" w:eastAsiaTheme="minorEastAsia" w:hAnsi="Cambria Math" w:cs="Arial"/>
                <w:i/>
                <w:color w:val="000000" w:themeColor="text1"/>
                <w:sz w:val="20"/>
                <w:szCs w:val="20"/>
              </w:rPr>
            </m:ctrlPr>
          </m:dPr>
          <m:e>
            <m:r>
              <w:rPr>
                <w:rFonts w:ascii="Cambria Math" w:eastAsiaTheme="minorEastAsia" w:hAnsi="Cambria Math" w:cs="Arial"/>
                <w:color w:val="000000" w:themeColor="text1"/>
                <w:sz w:val="20"/>
                <w:szCs w:val="20"/>
              </w:rPr>
              <m:t>0</m:t>
            </m:r>
          </m:e>
        </m:d>
      </m:oMath>
      <w:r w:rsidR="00484817" w:rsidRPr="00EF742C">
        <w:rPr>
          <w:rFonts w:ascii="Arial" w:eastAsiaTheme="minorEastAsia" w:hAnsi="Arial" w:cs="Arial"/>
          <w:color w:val="000000" w:themeColor="text1"/>
          <w:sz w:val="20"/>
          <w:szCs w:val="20"/>
        </w:rPr>
        <w:t xml:space="preserve"> denote the potential outcome under treatment </w:t>
      </w:r>
      <m:oMath>
        <m:r>
          <w:rPr>
            <w:rFonts w:ascii="Cambria Math" w:eastAsiaTheme="minorEastAsia" w:hAnsi="Cambria Math" w:cs="Arial"/>
            <w:color w:val="000000" w:themeColor="text1"/>
            <w:sz w:val="20"/>
            <w:szCs w:val="20"/>
          </w:rPr>
          <m:t>A=0</m:t>
        </m:r>
      </m:oMath>
      <w:r w:rsidR="00484817" w:rsidRPr="00EF742C">
        <w:rPr>
          <w:rFonts w:ascii="Arial" w:eastAsiaTheme="minorEastAsia" w:hAnsi="Arial" w:cs="Arial"/>
          <w:color w:val="000000" w:themeColor="text1"/>
          <w:sz w:val="20"/>
          <w:szCs w:val="20"/>
        </w:rPr>
        <w:t xml:space="preserve"> at time </w:t>
      </w:r>
      <m:oMath>
        <m:r>
          <w:rPr>
            <w:rFonts w:ascii="Cambria Math" w:eastAsiaTheme="minorEastAsia" w:hAnsi="Cambria Math" w:cs="Arial"/>
            <w:color w:val="000000" w:themeColor="text1"/>
            <w:sz w:val="20"/>
            <w:szCs w:val="20"/>
          </w:rPr>
          <m:t>t,</m:t>
        </m:r>
      </m:oMath>
      <w:r w:rsidR="00484817">
        <w:rPr>
          <w:rFonts w:ascii="Arial" w:eastAsiaTheme="minorEastAsia" w:hAnsi="Arial" w:cs="Arial"/>
          <w:color w:val="000000" w:themeColor="text1"/>
          <w:sz w:val="20"/>
          <w:szCs w:val="20"/>
        </w:rPr>
        <w:t xml:space="preserve"> where </w:t>
      </w:r>
      <m:oMath>
        <m:r>
          <w:rPr>
            <w:rFonts w:ascii="Cambria Math" w:eastAsiaTheme="minorEastAsia" w:hAnsi="Cambria Math" w:cs="Arial"/>
            <w:color w:val="000000" w:themeColor="text1"/>
            <w:sz w:val="20"/>
            <w:szCs w:val="20"/>
          </w:rPr>
          <m:t>t</m:t>
        </m:r>
      </m:oMath>
      <w:r w:rsidR="00484817">
        <w:rPr>
          <w:rFonts w:ascii="Arial" w:eastAsiaTheme="minorEastAsia" w:hAnsi="Arial" w:cs="Arial"/>
          <w:color w:val="000000" w:themeColor="text1"/>
          <w:sz w:val="20"/>
          <w:szCs w:val="20"/>
        </w:rPr>
        <w:t xml:space="preserve"> denotes </w:t>
      </w:r>
      <w:r w:rsidR="00210786">
        <w:rPr>
          <w:rFonts w:ascii="Arial" w:eastAsiaTheme="minorEastAsia" w:hAnsi="Arial" w:cs="Arial"/>
          <w:color w:val="000000" w:themeColor="text1"/>
          <w:sz w:val="20"/>
          <w:szCs w:val="20"/>
        </w:rPr>
        <w:t>weeks</w:t>
      </w:r>
      <w:r w:rsidR="00484817" w:rsidRPr="00EF742C">
        <w:rPr>
          <w:rFonts w:ascii="Arial" w:eastAsiaTheme="minorEastAsia" w:hAnsi="Arial" w:cs="Arial"/>
          <w:color w:val="000000" w:themeColor="text1"/>
          <w:sz w:val="20"/>
          <w:szCs w:val="20"/>
        </w:rPr>
        <w:t xml:space="preserve"> after </w:t>
      </w:r>
      <m:oMath>
        <m:r>
          <w:rPr>
            <w:rFonts w:ascii="Cambria Math" w:eastAsiaTheme="minorEastAsia" w:hAnsi="Cambria Math" w:cs="Arial"/>
            <w:color w:val="000000" w:themeColor="text1"/>
            <w:sz w:val="20"/>
            <w:szCs w:val="20"/>
          </w:rPr>
          <m:t xml:space="preserve">t=0. </m:t>
        </m:r>
      </m:oMath>
      <w:r w:rsidR="00484817" w:rsidRPr="00EF742C">
        <w:rPr>
          <w:rFonts w:ascii="Arial" w:eastAsiaTheme="minorEastAsia" w:hAnsi="Arial" w:cs="Arial"/>
          <w:color w:val="000000" w:themeColor="text1"/>
          <w:sz w:val="20"/>
          <w:szCs w:val="20"/>
        </w:rPr>
        <w:t xml:space="preserve"> Similarly, let </w:t>
      </w:r>
      <m:oMath>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Y</m:t>
            </m:r>
          </m:e>
          <m:sub>
            <m:r>
              <w:rPr>
                <w:rFonts w:ascii="Cambria Math" w:eastAsiaTheme="minorEastAsia" w:hAnsi="Cambria Math" w:cs="Arial"/>
                <w:color w:val="000000" w:themeColor="text1"/>
                <w:sz w:val="20"/>
                <w:szCs w:val="20"/>
              </w:rPr>
              <m:t>t</m:t>
            </m:r>
          </m:sub>
        </m:sSub>
        <m:d>
          <m:dPr>
            <m:ctrlPr>
              <w:rPr>
                <w:rFonts w:ascii="Cambria Math" w:eastAsiaTheme="minorEastAsia" w:hAnsi="Cambria Math" w:cs="Arial"/>
                <w:i/>
                <w:color w:val="000000" w:themeColor="text1"/>
                <w:sz w:val="20"/>
                <w:szCs w:val="20"/>
              </w:rPr>
            </m:ctrlPr>
          </m:dPr>
          <m:e>
            <m:r>
              <w:rPr>
                <w:rFonts w:ascii="Cambria Math" w:eastAsiaTheme="minorEastAsia" w:hAnsi="Cambria Math" w:cs="Arial"/>
                <w:color w:val="000000" w:themeColor="text1"/>
                <w:sz w:val="20"/>
                <w:szCs w:val="20"/>
              </w:rPr>
              <m:t>1</m:t>
            </m:r>
          </m:e>
        </m:d>
      </m:oMath>
      <w:r w:rsidR="00484817" w:rsidRPr="00EF742C">
        <w:rPr>
          <w:rFonts w:ascii="Arial" w:eastAsiaTheme="minorEastAsia" w:hAnsi="Arial" w:cs="Arial"/>
          <w:color w:val="000000" w:themeColor="text1"/>
          <w:sz w:val="20"/>
          <w:szCs w:val="20"/>
        </w:rPr>
        <w:t xml:space="preserve"> denote the potential outcome under treatment </w:t>
      </w:r>
      <m:oMath>
        <m:r>
          <w:rPr>
            <w:rFonts w:ascii="Cambria Math" w:eastAsiaTheme="minorEastAsia" w:hAnsi="Cambria Math" w:cs="Arial"/>
            <w:color w:val="000000" w:themeColor="text1"/>
            <w:sz w:val="20"/>
            <w:szCs w:val="20"/>
          </w:rPr>
          <m:t>A=1</m:t>
        </m:r>
      </m:oMath>
      <w:r w:rsidR="00484817" w:rsidRPr="00EF742C">
        <w:rPr>
          <w:rFonts w:ascii="Arial" w:eastAsiaTheme="minorEastAsia" w:hAnsi="Arial" w:cs="Arial"/>
          <w:color w:val="000000" w:themeColor="text1"/>
          <w:sz w:val="20"/>
          <w:szCs w:val="20"/>
        </w:rPr>
        <w:t xml:space="preserve"> at time </w:t>
      </w:r>
      <m:oMath>
        <m:r>
          <w:rPr>
            <w:rFonts w:ascii="Cambria Math" w:eastAsiaTheme="minorEastAsia" w:hAnsi="Cambria Math" w:cs="Arial"/>
            <w:color w:val="000000" w:themeColor="text1"/>
            <w:sz w:val="20"/>
            <w:szCs w:val="20"/>
          </w:rPr>
          <m:t>t.</m:t>
        </m:r>
      </m:oMath>
      <w:r w:rsidR="00484817">
        <w:rPr>
          <w:rFonts w:ascii="Arial" w:eastAsiaTheme="minorEastAsia" w:hAnsi="Arial" w:cs="Arial"/>
          <w:color w:val="000000" w:themeColor="text1"/>
          <w:sz w:val="20"/>
          <w:szCs w:val="20"/>
        </w:rPr>
        <w:t xml:space="preserve"> Finally, </w:t>
      </w:r>
      <m:oMath>
        <m:r>
          <m:rPr>
            <m:sty m:val="bi"/>
          </m:rPr>
          <w:rPr>
            <w:rFonts w:ascii="Cambria Math" w:hAnsi="Cambria Math" w:cs="Arial"/>
            <w:sz w:val="20"/>
            <w:szCs w:val="20"/>
          </w:rPr>
          <m:t>C</m:t>
        </m:r>
      </m:oMath>
      <w:r w:rsidR="00484817">
        <w:rPr>
          <w:rFonts w:ascii="Arial" w:eastAsiaTheme="minorEastAsia" w:hAnsi="Arial" w:cs="Arial"/>
          <w:b/>
          <w:sz w:val="20"/>
          <w:szCs w:val="20"/>
        </w:rPr>
        <w:t xml:space="preserve"> </w:t>
      </w:r>
      <w:r w:rsidR="00484817">
        <w:rPr>
          <w:rFonts w:ascii="Arial" w:eastAsiaTheme="minorEastAsia" w:hAnsi="Arial" w:cs="Arial"/>
          <w:bCs/>
          <w:sz w:val="20"/>
          <w:szCs w:val="20"/>
        </w:rPr>
        <w:t>denotes the</w:t>
      </w:r>
      <w:r w:rsidR="00395D37">
        <w:rPr>
          <w:rFonts w:ascii="Arial" w:eastAsiaTheme="minorEastAsia" w:hAnsi="Arial" w:cs="Arial"/>
          <w:bCs/>
          <w:sz w:val="20"/>
          <w:szCs w:val="20"/>
        </w:rPr>
        <w:t xml:space="preserve"> minimally sufficient set of</w:t>
      </w:r>
      <w:r w:rsidR="00484817">
        <w:rPr>
          <w:rFonts w:ascii="Arial" w:eastAsiaTheme="minorEastAsia" w:hAnsi="Arial" w:cs="Arial"/>
          <w:bCs/>
          <w:sz w:val="20"/>
          <w:szCs w:val="20"/>
        </w:rPr>
        <w:t xml:space="preserve"> confounding </w:t>
      </w:r>
      <w:r w:rsidR="00395D37">
        <w:rPr>
          <w:rFonts w:ascii="Arial" w:eastAsiaTheme="minorEastAsia" w:hAnsi="Arial" w:cs="Arial"/>
          <w:bCs/>
          <w:sz w:val="20"/>
          <w:szCs w:val="20"/>
        </w:rPr>
        <w:t xml:space="preserve">variables. </w:t>
      </w:r>
    </w:p>
    <w:p w14:paraId="095F5D78" w14:textId="5CADA4E1" w:rsidR="009E0411" w:rsidRPr="00DE4A49" w:rsidRDefault="00121AF5" w:rsidP="00BA10A0">
      <w:pPr>
        <w:pStyle w:val="Heading3"/>
      </w:pPr>
      <w:r>
        <w:rPr>
          <w:bCs/>
        </w:rPr>
        <w:t xml:space="preserve">4.6.2 </w:t>
      </w:r>
      <w:r w:rsidR="009E0411" w:rsidRPr="00DE4A49">
        <w:rPr>
          <w:bCs/>
        </w:rPr>
        <w:t>Causal</w:t>
      </w:r>
      <w:r w:rsidR="009E0411" w:rsidRPr="00DE4A49">
        <w:t xml:space="preserve"> estimand</w:t>
      </w:r>
      <w:r w:rsidR="002A49B6">
        <w:t>s</w:t>
      </w:r>
      <w:r w:rsidR="009E0411" w:rsidRPr="00DE4A49">
        <w:t xml:space="preserve"> of interest</w:t>
      </w:r>
    </w:p>
    <w:p w14:paraId="62BF4F0E" w14:textId="0BE0DD3D" w:rsidR="00336DDE" w:rsidRPr="00CE699C" w:rsidRDefault="00E476A0" w:rsidP="009E0411">
      <w:pPr>
        <w:rPr>
          <w:rFonts w:ascii="Arial" w:hAnsi="Arial" w:cs="Arial"/>
          <w:color w:val="000000" w:themeColor="text1"/>
          <w:sz w:val="20"/>
          <w:szCs w:val="20"/>
        </w:rPr>
      </w:pPr>
      <w:r>
        <w:rPr>
          <w:rFonts w:ascii="Arial" w:hAnsi="Arial" w:cs="Arial"/>
          <w:color w:val="000000" w:themeColor="text1"/>
          <w:sz w:val="20"/>
          <w:szCs w:val="20"/>
        </w:rPr>
        <w:t>In all trial emulations, the primary outcome is FEV</w:t>
      </w:r>
      <w:r w:rsidRPr="00E476A0">
        <w:rPr>
          <w:rFonts w:ascii="Arial" w:hAnsi="Arial" w:cs="Arial"/>
          <w:color w:val="000000" w:themeColor="text1"/>
          <w:sz w:val="20"/>
          <w:szCs w:val="20"/>
          <w:vertAlign w:val="subscript"/>
        </w:rPr>
        <w:t>1</w:t>
      </w:r>
      <w:r w:rsidR="00CD251E">
        <w:rPr>
          <w:rFonts w:ascii="Arial" w:hAnsi="Arial" w:cs="Arial"/>
          <w:color w:val="000000" w:themeColor="text1"/>
          <w:sz w:val="20"/>
          <w:szCs w:val="20"/>
        </w:rPr>
        <w:t>%,</w:t>
      </w:r>
      <w:r>
        <w:rPr>
          <w:rFonts w:ascii="Arial" w:hAnsi="Arial" w:cs="Arial"/>
          <w:color w:val="000000" w:themeColor="text1"/>
          <w:sz w:val="20"/>
          <w:szCs w:val="20"/>
        </w:rPr>
        <w:t xml:space="preserve"> </w:t>
      </w:r>
      <w:r w:rsidR="00150240">
        <w:rPr>
          <w:rFonts w:ascii="Arial" w:hAnsi="Arial" w:cs="Arial"/>
          <w:color w:val="000000" w:themeColor="text1"/>
          <w:sz w:val="20"/>
          <w:szCs w:val="20"/>
        </w:rPr>
        <w:t xml:space="preserve">which is </w:t>
      </w:r>
      <w:r>
        <w:rPr>
          <w:rFonts w:ascii="Arial" w:hAnsi="Arial" w:cs="Arial"/>
          <w:color w:val="000000" w:themeColor="text1"/>
          <w:sz w:val="20"/>
          <w:szCs w:val="20"/>
        </w:rPr>
        <w:t xml:space="preserve">a continuous outcome. </w:t>
      </w:r>
      <w:r w:rsidR="00336E4F">
        <w:rPr>
          <w:rFonts w:ascii="Arial" w:hAnsi="Arial" w:cs="Arial"/>
          <w:color w:val="000000" w:themeColor="text1"/>
          <w:sz w:val="20"/>
          <w:szCs w:val="20"/>
        </w:rPr>
        <w:t xml:space="preserve">Secondary outcomes involve variety of variable types </w:t>
      </w:r>
      <w:r w:rsidR="00CD251E">
        <w:rPr>
          <w:rFonts w:ascii="Arial" w:hAnsi="Arial" w:cs="Arial"/>
          <w:color w:val="000000" w:themeColor="text1"/>
          <w:sz w:val="20"/>
          <w:szCs w:val="20"/>
        </w:rPr>
        <w:t>including</w:t>
      </w:r>
      <w:r w:rsidR="00336E4F">
        <w:rPr>
          <w:rFonts w:ascii="Arial" w:hAnsi="Arial" w:cs="Arial"/>
          <w:color w:val="000000" w:themeColor="text1"/>
          <w:sz w:val="20"/>
          <w:szCs w:val="20"/>
        </w:rPr>
        <w:t xml:space="preserve"> continuous, binary and time-to-event. </w:t>
      </w:r>
      <w:r w:rsidR="00CD251E" w:rsidRPr="00CE699C">
        <w:rPr>
          <w:rFonts w:ascii="Arial" w:hAnsi="Arial" w:cs="Arial"/>
          <w:color w:val="000000" w:themeColor="text1"/>
          <w:sz w:val="20"/>
          <w:szCs w:val="20"/>
        </w:rPr>
        <w:t>Here we define the causal estimand of interest for continuous, binary and time-to-event outcomes, using the potential outcomes framework.</w:t>
      </w:r>
    </w:p>
    <w:p w14:paraId="0FEF580E" w14:textId="7C8DF82C" w:rsidR="009E0411" w:rsidRPr="00CE699C" w:rsidRDefault="00336DDE" w:rsidP="009E0411">
      <w:pPr>
        <w:rPr>
          <w:rFonts w:ascii="Arial" w:eastAsiaTheme="minorEastAsia" w:hAnsi="Arial" w:cs="Arial"/>
          <w:color w:val="000000" w:themeColor="text1"/>
          <w:sz w:val="20"/>
          <w:szCs w:val="20"/>
        </w:rPr>
      </w:pPr>
      <w:r w:rsidRPr="00CE699C">
        <w:rPr>
          <w:rFonts w:ascii="Arial" w:hAnsi="Arial" w:cs="Arial"/>
          <w:color w:val="000000" w:themeColor="text1"/>
          <w:sz w:val="20"/>
          <w:szCs w:val="20"/>
        </w:rPr>
        <w:t>For</w:t>
      </w:r>
      <w:r w:rsidR="00184620" w:rsidRPr="00CE699C">
        <w:rPr>
          <w:rFonts w:ascii="Arial" w:hAnsi="Arial" w:cs="Arial"/>
          <w:color w:val="000000" w:themeColor="text1"/>
          <w:sz w:val="20"/>
          <w:szCs w:val="20"/>
        </w:rPr>
        <w:t xml:space="preserve"> continuous outcomes</w:t>
      </w:r>
      <w:r w:rsidRPr="00CE699C">
        <w:rPr>
          <w:rFonts w:ascii="Arial" w:hAnsi="Arial" w:cs="Arial"/>
          <w:color w:val="000000" w:themeColor="text1"/>
          <w:sz w:val="20"/>
          <w:szCs w:val="20"/>
        </w:rPr>
        <w:t>, the causal estimand of interes</w:t>
      </w:r>
      <w:r w:rsidR="00A345F9" w:rsidRPr="00CE699C">
        <w:rPr>
          <w:rFonts w:ascii="Arial" w:hAnsi="Arial" w:cs="Arial"/>
          <w:color w:val="000000" w:themeColor="text1"/>
          <w:sz w:val="20"/>
          <w:szCs w:val="20"/>
        </w:rPr>
        <w:t>t</w:t>
      </w:r>
      <w:r w:rsidR="00184620" w:rsidRPr="00CE699C">
        <w:rPr>
          <w:rFonts w:ascii="Arial" w:hAnsi="Arial" w:cs="Arial"/>
          <w:color w:val="000000" w:themeColor="text1"/>
          <w:sz w:val="20"/>
          <w:szCs w:val="20"/>
        </w:rPr>
        <w:t xml:space="preserve"> is</w:t>
      </w:r>
      <w:r w:rsidR="00A345F9" w:rsidRPr="00CE699C">
        <w:rPr>
          <w:rFonts w:ascii="Arial" w:hAnsi="Arial" w:cs="Arial"/>
          <w:color w:val="000000" w:themeColor="text1"/>
          <w:sz w:val="20"/>
          <w:szCs w:val="20"/>
        </w:rPr>
        <w:t xml:space="preserve"> the</w:t>
      </w:r>
      <w:r w:rsidR="00184620" w:rsidRPr="00CE699C">
        <w:rPr>
          <w:rFonts w:ascii="Arial" w:hAnsi="Arial" w:cs="Arial"/>
          <w:color w:val="000000" w:themeColor="text1"/>
          <w:sz w:val="20"/>
          <w:szCs w:val="20"/>
        </w:rPr>
        <w:t xml:space="preserve"> </w:t>
      </w:r>
      <w:r w:rsidR="0087749F" w:rsidRPr="00CE699C">
        <w:rPr>
          <w:rFonts w:ascii="Arial" w:hAnsi="Arial" w:cs="Arial"/>
          <w:color w:val="000000" w:themeColor="text1"/>
          <w:sz w:val="20"/>
          <w:szCs w:val="20"/>
        </w:rPr>
        <w:t xml:space="preserve">difference in expected means: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5"/>
        <w:gridCol w:w="461"/>
      </w:tblGrid>
      <w:tr w:rsidR="009E0411" w:rsidRPr="00CE699C" w14:paraId="6E9577F1" w14:textId="77777777" w:rsidTr="00C40B76">
        <w:tc>
          <w:tcPr>
            <w:tcW w:w="8767" w:type="dxa"/>
          </w:tcPr>
          <w:p w14:paraId="703C0A28" w14:textId="5C1EEAA8" w:rsidR="00336DDE" w:rsidRPr="00CE699C" w:rsidRDefault="00336DDE" w:rsidP="00C40B76">
            <w:pPr>
              <w:rPr>
                <w:rFonts w:ascii="Arial" w:eastAsiaTheme="minorEastAsia" w:hAnsi="Arial" w:cs="Arial"/>
                <w:sz w:val="20"/>
                <w:szCs w:val="20"/>
              </w:rPr>
            </w:pPr>
            <m:oMathPara>
              <m:oMath>
                <m:r>
                  <w:rPr>
                    <w:rFonts w:ascii="Cambria Math" w:hAnsi="Cambria Math" w:cs="Arial"/>
                    <w:sz w:val="20"/>
                    <w:szCs w:val="20"/>
                  </w:rPr>
                  <m:t>E</m:t>
                </m:r>
                <m:d>
                  <m:dPr>
                    <m:begChr m:val="{"/>
                    <m:endChr m:val="}"/>
                    <m:ctrlPr>
                      <w:rPr>
                        <w:rFonts w:ascii="Cambria Math" w:hAnsi="Cambria Math" w:cs="Arial"/>
                        <w:i/>
                        <w:sz w:val="20"/>
                        <w:szCs w:val="20"/>
                      </w:rPr>
                    </m:ctrlPr>
                  </m:dPr>
                  <m:e>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Y</m:t>
                        </m:r>
                      </m:e>
                      <m:sub>
                        <m:r>
                          <w:rPr>
                            <w:rFonts w:ascii="Cambria Math" w:eastAsiaTheme="minorEastAsia" w:hAnsi="Cambria Math" w:cs="Arial"/>
                            <w:color w:val="000000" w:themeColor="text1"/>
                            <w:sz w:val="20"/>
                            <w:szCs w:val="20"/>
                          </w:rPr>
                          <m:t>24</m:t>
                        </m:r>
                      </m:sub>
                    </m:sSub>
                    <m:d>
                      <m:dPr>
                        <m:ctrlPr>
                          <w:rPr>
                            <w:rFonts w:ascii="Cambria Math" w:eastAsiaTheme="minorEastAsia" w:hAnsi="Cambria Math" w:cs="Arial"/>
                            <w:i/>
                            <w:color w:val="000000" w:themeColor="text1"/>
                            <w:sz w:val="20"/>
                            <w:szCs w:val="20"/>
                          </w:rPr>
                        </m:ctrlPr>
                      </m:dPr>
                      <m:e>
                        <m:r>
                          <w:rPr>
                            <w:rFonts w:ascii="Cambria Math" w:eastAsiaTheme="minorEastAsia" w:hAnsi="Cambria Math" w:cs="Arial"/>
                            <w:color w:val="000000" w:themeColor="text1"/>
                            <w:sz w:val="20"/>
                            <w:szCs w:val="20"/>
                          </w:rPr>
                          <m:t>1</m:t>
                        </m:r>
                      </m:e>
                    </m:d>
                  </m:e>
                </m:d>
                <m:r>
                  <w:rPr>
                    <w:rFonts w:ascii="Cambria Math" w:hAnsi="Cambria Math" w:cs="Arial"/>
                    <w:sz w:val="20"/>
                    <w:szCs w:val="20"/>
                  </w:rPr>
                  <m:t>-E</m:t>
                </m:r>
                <m:d>
                  <m:dPr>
                    <m:begChr m:val="{"/>
                    <m:endChr m:val="}"/>
                    <m:ctrlPr>
                      <w:rPr>
                        <w:rFonts w:ascii="Cambria Math" w:hAnsi="Cambria Math" w:cs="Arial"/>
                        <w:i/>
                        <w:sz w:val="20"/>
                        <w:szCs w:val="20"/>
                      </w:rPr>
                    </m:ctrlPr>
                  </m:dPr>
                  <m:e>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Y</m:t>
                        </m:r>
                      </m:e>
                      <m:sub>
                        <m:r>
                          <w:rPr>
                            <w:rFonts w:ascii="Cambria Math" w:eastAsiaTheme="minorEastAsia" w:hAnsi="Cambria Math" w:cs="Arial"/>
                            <w:color w:val="000000" w:themeColor="text1"/>
                            <w:sz w:val="20"/>
                            <w:szCs w:val="20"/>
                          </w:rPr>
                          <m:t>24</m:t>
                        </m:r>
                      </m:sub>
                    </m:sSub>
                    <m:d>
                      <m:dPr>
                        <m:ctrlPr>
                          <w:rPr>
                            <w:rFonts w:ascii="Cambria Math" w:eastAsiaTheme="minorEastAsia" w:hAnsi="Cambria Math" w:cs="Arial"/>
                            <w:i/>
                            <w:color w:val="000000" w:themeColor="text1"/>
                            <w:sz w:val="20"/>
                            <w:szCs w:val="20"/>
                          </w:rPr>
                        </m:ctrlPr>
                      </m:dPr>
                      <m:e>
                        <m:r>
                          <w:rPr>
                            <w:rFonts w:ascii="Cambria Math" w:eastAsiaTheme="minorEastAsia" w:hAnsi="Cambria Math" w:cs="Arial"/>
                            <w:color w:val="000000" w:themeColor="text1"/>
                            <w:sz w:val="20"/>
                            <w:szCs w:val="20"/>
                          </w:rPr>
                          <m:t>0</m:t>
                        </m:r>
                      </m:e>
                    </m:d>
                  </m:e>
                </m:d>
              </m:oMath>
            </m:oMathPara>
          </w:p>
          <w:p w14:paraId="001C0096" w14:textId="556BFBA8" w:rsidR="00336DDE" w:rsidRPr="00CE699C" w:rsidRDefault="00336DDE" w:rsidP="00C40B76">
            <w:pPr>
              <w:rPr>
                <w:rFonts w:ascii="Arial" w:eastAsiaTheme="minorEastAsia" w:hAnsi="Arial" w:cs="Arial"/>
                <w:sz w:val="20"/>
                <w:szCs w:val="20"/>
              </w:rPr>
            </w:pPr>
          </w:p>
        </w:tc>
        <w:tc>
          <w:tcPr>
            <w:tcW w:w="249" w:type="dxa"/>
          </w:tcPr>
          <w:p w14:paraId="4D4F1996" w14:textId="122ED6B1" w:rsidR="009E0411" w:rsidRPr="00CE699C" w:rsidRDefault="009E0411" w:rsidP="00C40B76">
            <w:pPr>
              <w:rPr>
                <w:rFonts w:ascii="Arial" w:eastAsiaTheme="minorEastAsia" w:hAnsi="Arial" w:cs="Arial"/>
                <w:color w:val="000000" w:themeColor="text1"/>
                <w:sz w:val="20"/>
                <w:szCs w:val="20"/>
              </w:rPr>
            </w:pPr>
            <w:r w:rsidRPr="00CE699C">
              <w:rPr>
                <w:rFonts w:ascii="Arial" w:eastAsiaTheme="minorEastAsia" w:hAnsi="Arial" w:cs="Arial"/>
                <w:color w:val="000000" w:themeColor="text1"/>
                <w:sz w:val="20"/>
                <w:szCs w:val="20"/>
              </w:rPr>
              <w:t>(</w:t>
            </w:r>
            <w:r w:rsidR="0087749F" w:rsidRPr="00CE699C">
              <w:rPr>
                <w:rFonts w:ascii="Arial" w:eastAsiaTheme="minorEastAsia" w:hAnsi="Arial" w:cs="Arial"/>
                <w:color w:val="000000" w:themeColor="text1"/>
                <w:sz w:val="20"/>
                <w:szCs w:val="20"/>
              </w:rPr>
              <w:t>1</w:t>
            </w:r>
            <w:r w:rsidRPr="00CE699C">
              <w:rPr>
                <w:rFonts w:ascii="Arial" w:eastAsiaTheme="minorEastAsia" w:hAnsi="Arial" w:cs="Arial"/>
                <w:color w:val="000000" w:themeColor="text1"/>
                <w:sz w:val="20"/>
                <w:szCs w:val="20"/>
              </w:rPr>
              <w:t>)</w:t>
            </w:r>
          </w:p>
        </w:tc>
      </w:tr>
    </w:tbl>
    <w:p w14:paraId="0FFF1F56" w14:textId="25BB79DC" w:rsidR="00B753F5" w:rsidRDefault="00B753F5" w:rsidP="009E0411">
      <w:pPr>
        <w:rPr>
          <w:rFonts w:ascii="Arial" w:hAnsi="Arial" w:cs="Arial"/>
          <w:color w:val="000000" w:themeColor="text1"/>
          <w:sz w:val="20"/>
          <w:szCs w:val="20"/>
        </w:rPr>
      </w:pPr>
      <w:r>
        <w:rPr>
          <w:rFonts w:ascii="Arial" w:hAnsi="Arial" w:cs="Arial"/>
          <w:color w:val="000000" w:themeColor="text1"/>
          <w:sz w:val="20"/>
          <w:szCs w:val="20"/>
        </w:rPr>
        <w:t>For FEV</w:t>
      </w:r>
      <w:r w:rsidRPr="00E476A0">
        <w:rPr>
          <w:rFonts w:ascii="Arial" w:hAnsi="Arial" w:cs="Arial"/>
          <w:color w:val="000000" w:themeColor="text1"/>
          <w:sz w:val="20"/>
          <w:szCs w:val="20"/>
          <w:vertAlign w:val="subscript"/>
        </w:rPr>
        <w:t>1</w:t>
      </w:r>
      <w:r>
        <w:rPr>
          <w:rFonts w:ascii="Arial" w:hAnsi="Arial" w:cs="Arial"/>
          <w:color w:val="000000" w:themeColor="text1"/>
          <w:sz w:val="20"/>
          <w:szCs w:val="20"/>
        </w:rPr>
        <w:t>%, this will be interpreted as the expected difference in FEV</w:t>
      </w:r>
      <w:r w:rsidRPr="00E476A0">
        <w:rPr>
          <w:rFonts w:ascii="Arial" w:hAnsi="Arial" w:cs="Arial"/>
          <w:color w:val="000000" w:themeColor="text1"/>
          <w:sz w:val="20"/>
          <w:szCs w:val="20"/>
          <w:vertAlign w:val="subscript"/>
        </w:rPr>
        <w:t>1</w:t>
      </w:r>
      <w:r>
        <w:rPr>
          <w:rFonts w:ascii="Arial" w:hAnsi="Arial" w:cs="Arial"/>
          <w:color w:val="000000" w:themeColor="text1"/>
          <w:sz w:val="20"/>
          <w:szCs w:val="20"/>
        </w:rPr>
        <w:t xml:space="preserve">% between two </w:t>
      </w:r>
      <w:r w:rsidR="00E3188E">
        <w:rPr>
          <w:rFonts w:ascii="Arial" w:hAnsi="Arial" w:cs="Arial"/>
          <w:color w:val="000000" w:themeColor="text1"/>
          <w:sz w:val="20"/>
          <w:szCs w:val="20"/>
        </w:rPr>
        <w:t xml:space="preserve">hypothetical </w:t>
      </w:r>
      <w:r>
        <w:rPr>
          <w:rFonts w:ascii="Arial" w:hAnsi="Arial" w:cs="Arial"/>
          <w:color w:val="000000" w:themeColor="text1"/>
          <w:sz w:val="20"/>
          <w:szCs w:val="20"/>
        </w:rPr>
        <w:t xml:space="preserve">worlds: one in which everyone follows the active treatment strategy and one in which everyone follows the comparison treatment strategy. </w:t>
      </w:r>
    </w:p>
    <w:p w14:paraId="66CE5C99" w14:textId="33925622" w:rsidR="00336DDE" w:rsidRPr="00CE699C" w:rsidRDefault="00336DDE" w:rsidP="009E0411">
      <w:pPr>
        <w:rPr>
          <w:rFonts w:ascii="Arial" w:hAnsi="Arial" w:cs="Arial"/>
          <w:color w:val="000000" w:themeColor="text1"/>
          <w:sz w:val="20"/>
          <w:szCs w:val="20"/>
        </w:rPr>
      </w:pPr>
      <w:r w:rsidRPr="00CE699C">
        <w:rPr>
          <w:rFonts w:ascii="Arial" w:hAnsi="Arial" w:cs="Arial"/>
          <w:color w:val="000000" w:themeColor="text1"/>
          <w:sz w:val="20"/>
          <w:szCs w:val="20"/>
        </w:rPr>
        <w:t>For binary outcomes, the</w:t>
      </w:r>
      <w:r w:rsidR="00A345F9" w:rsidRPr="00CE699C">
        <w:rPr>
          <w:rFonts w:ascii="Arial" w:hAnsi="Arial" w:cs="Arial"/>
          <w:color w:val="000000" w:themeColor="text1"/>
          <w:sz w:val="20"/>
          <w:szCs w:val="20"/>
        </w:rPr>
        <w:t xml:space="preserve"> causal estimands of interest will include odds ratios: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5"/>
        <w:gridCol w:w="461"/>
      </w:tblGrid>
      <w:tr w:rsidR="0016723A" w:rsidRPr="00CE699C" w14:paraId="736D41FD" w14:textId="77777777" w:rsidTr="004301FA">
        <w:tc>
          <w:tcPr>
            <w:tcW w:w="8767" w:type="dxa"/>
          </w:tcPr>
          <w:p w14:paraId="07DE45B1" w14:textId="13995905" w:rsidR="0016723A" w:rsidRPr="00CE699C" w:rsidRDefault="00EE0D39" w:rsidP="004301FA">
            <w:pPr>
              <w:rPr>
                <w:rFonts w:ascii="Arial" w:eastAsiaTheme="minorEastAsia" w:hAnsi="Arial" w:cs="Arial"/>
                <w:sz w:val="20"/>
                <w:szCs w:val="20"/>
              </w:rPr>
            </w:pPr>
            <m:oMathPara>
              <m:oMath>
                <m:f>
                  <m:fPr>
                    <m:ctrlPr>
                      <w:rPr>
                        <w:rFonts w:ascii="Cambria Math" w:eastAsiaTheme="minorEastAsia" w:hAnsi="Cambria Math" w:cs="Arial"/>
                        <w:i/>
                        <w:sz w:val="20"/>
                        <w:szCs w:val="20"/>
                      </w:rPr>
                    </m:ctrlPr>
                  </m:fPr>
                  <m:num>
                    <m:f>
                      <m:fPr>
                        <m:type m:val="lin"/>
                        <m:ctrlPr>
                          <w:rPr>
                            <w:rFonts w:ascii="Cambria Math" w:eastAsiaTheme="minorEastAsia" w:hAnsi="Cambria Math" w:cs="Arial"/>
                            <w:i/>
                            <w:sz w:val="20"/>
                            <w:szCs w:val="20"/>
                          </w:rPr>
                        </m:ctrlPr>
                      </m:fPr>
                      <m:num>
                        <m:r>
                          <w:rPr>
                            <w:rFonts w:ascii="Cambria Math" w:eastAsiaTheme="minorEastAsia" w:hAnsi="Cambria Math" w:cs="Arial"/>
                            <w:sz w:val="20"/>
                            <w:szCs w:val="20"/>
                          </w:rPr>
                          <m:t>P</m:t>
                        </m:r>
                        <m:r>
                          <w:rPr>
                            <w:rFonts w:ascii="Cambria Math" w:eastAsiaTheme="minorEastAsia" w:hAnsi="Cambria Math" w:cs="Arial"/>
                            <w:sz w:val="20"/>
                            <w:szCs w:val="20"/>
                          </w:rPr>
                          <m:t>(</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Y</m:t>
                            </m:r>
                          </m:e>
                          <m:sub>
                            <m:r>
                              <w:rPr>
                                <w:rFonts w:ascii="Cambria Math" w:eastAsiaTheme="minorEastAsia" w:hAnsi="Cambria Math" w:cs="Arial"/>
                                <w:color w:val="000000" w:themeColor="text1"/>
                                <w:sz w:val="20"/>
                                <w:szCs w:val="20"/>
                              </w:rPr>
                              <m:t>24</m:t>
                            </m:r>
                          </m:sub>
                        </m:sSub>
                        <m:d>
                          <m:dPr>
                            <m:ctrlPr>
                              <w:rPr>
                                <w:rFonts w:ascii="Cambria Math" w:eastAsiaTheme="minorEastAsia" w:hAnsi="Cambria Math" w:cs="Arial"/>
                                <w:i/>
                                <w:color w:val="000000" w:themeColor="text1"/>
                                <w:sz w:val="20"/>
                                <w:szCs w:val="20"/>
                              </w:rPr>
                            </m:ctrlPr>
                          </m:dPr>
                          <m:e>
                            <m:r>
                              <w:rPr>
                                <w:rFonts w:ascii="Cambria Math" w:eastAsiaTheme="minorEastAsia" w:hAnsi="Cambria Math" w:cs="Arial"/>
                                <w:color w:val="000000" w:themeColor="text1"/>
                                <w:sz w:val="20"/>
                                <w:szCs w:val="20"/>
                              </w:rPr>
                              <m:t>1</m:t>
                            </m:r>
                          </m:e>
                        </m:d>
                        <m:r>
                          <m:rPr>
                            <m:sty m:val="p"/>
                          </m:rPr>
                          <w:rPr>
                            <w:rFonts w:ascii="Cambria Math" w:eastAsiaTheme="minorEastAsia" w:hAnsi="Cambria Math" w:cs="Arial"/>
                            <w:color w:val="000000" w:themeColor="text1"/>
                            <w:sz w:val="20"/>
                            <w:szCs w:val="20"/>
                          </w:rPr>
                          <m:t xml:space="preserve"> </m:t>
                        </m:r>
                        <m:r>
                          <w:rPr>
                            <w:rFonts w:ascii="Cambria Math" w:eastAsiaTheme="minorEastAsia" w:hAnsi="Cambria Math" w:cs="Arial"/>
                            <w:color w:val="000000" w:themeColor="text1"/>
                            <w:sz w:val="20"/>
                            <w:szCs w:val="20"/>
                          </w:rPr>
                          <m:t xml:space="preserve"> </m:t>
                        </m:r>
                        <m:r>
                          <w:rPr>
                            <w:rFonts w:ascii="Cambria Math" w:eastAsiaTheme="minorEastAsia" w:hAnsi="Cambria Math" w:cs="Arial"/>
                            <w:sz w:val="20"/>
                            <w:szCs w:val="20"/>
                          </w:rPr>
                          <m:t>=1)</m:t>
                        </m:r>
                      </m:num>
                      <m:den>
                        <m:r>
                          <w:rPr>
                            <w:rFonts w:ascii="Cambria Math" w:eastAsiaTheme="minorEastAsia" w:hAnsi="Cambria Math" w:cs="Arial"/>
                            <w:sz w:val="20"/>
                            <w:szCs w:val="20"/>
                          </w:rPr>
                          <m:t>P</m:t>
                        </m:r>
                        <m:r>
                          <w:rPr>
                            <w:rFonts w:ascii="Cambria Math" w:eastAsiaTheme="minorEastAsia" w:hAnsi="Cambria Math" w:cs="Arial"/>
                            <w:sz w:val="20"/>
                            <w:szCs w:val="20"/>
                          </w:rPr>
                          <m:t>(</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Y</m:t>
                            </m:r>
                          </m:e>
                          <m:sub>
                            <m:r>
                              <w:rPr>
                                <w:rFonts w:ascii="Cambria Math" w:eastAsiaTheme="minorEastAsia" w:hAnsi="Cambria Math" w:cs="Arial"/>
                                <w:color w:val="000000" w:themeColor="text1"/>
                                <w:sz w:val="20"/>
                                <w:szCs w:val="20"/>
                              </w:rPr>
                              <m:t>24</m:t>
                            </m:r>
                          </m:sub>
                        </m:sSub>
                        <m:d>
                          <m:dPr>
                            <m:ctrlPr>
                              <w:rPr>
                                <w:rFonts w:ascii="Cambria Math" w:eastAsiaTheme="minorEastAsia" w:hAnsi="Cambria Math" w:cs="Arial"/>
                                <w:i/>
                                <w:color w:val="000000" w:themeColor="text1"/>
                                <w:sz w:val="20"/>
                                <w:szCs w:val="20"/>
                              </w:rPr>
                            </m:ctrlPr>
                          </m:dPr>
                          <m:e>
                            <m:r>
                              <w:rPr>
                                <w:rFonts w:ascii="Cambria Math" w:eastAsiaTheme="minorEastAsia" w:hAnsi="Cambria Math" w:cs="Arial"/>
                                <w:color w:val="000000" w:themeColor="text1"/>
                                <w:sz w:val="20"/>
                                <w:szCs w:val="20"/>
                              </w:rPr>
                              <m:t>1</m:t>
                            </m:r>
                          </m:e>
                        </m:d>
                        <m:r>
                          <m:rPr>
                            <m:sty m:val="p"/>
                          </m:rPr>
                          <w:rPr>
                            <w:rFonts w:ascii="Cambria Math" w:eastAsiaTheme="minorEastAsia" w:hAnsi="Cambria Math" w:cs="Arial"/>
                            <w:color w:val="000000" w:themeColor="text1"/>
                            <w:sz w:val="20"/>
                            <w:szCs w:val="20"/>
                          </w:rPr>
                          <m:t xml:space="preserve"> </m:t>
                        </m:r>
                        <m:r>
                          <w:rPr>
                            <w:rFonts w:ascii="Cambria Math" w:eastAsiaTheme="minorEastAsia" w:hAnsi="Cambria Math" w:cs="Arial"/>
                            <w:color w:val="000000" w:themeColor="text1"/>
                            <w:sz w:val="20"/>
                            <w:szCs w:val="20"/>
                          </w:rPr>
                          <m:t xml:space="preserve"> </m:t>
                        </m:r>
                        <m:r>
                          <w:rPr>
                            <w:rFonts w:ascii="Cambria Math" w:eastAsiaTheme="minorEastAsia" w:hAnsi="Cambria Math" w:cs="Arial"/>
                            <w:sz w:val="20"/>
                            <w:szCs w:val="20"/>
                          </w:rPr>
                          <m:t>=0)</m:t>
                        </m:r>
                      </m:den>
                    </m:f>
                  </m:num>
                  <m:den>
                    <m:f>
                      <m:fPr>
                        <m:type m:val="lin"/>
                        <m:ctrlPr>
                          <w:rPr>
                            <w:rFonts w:ascii="Cambria Math" w:eastAsiaTheme="minorEastAsia" w:hAnsi="Cambria Math" w:cs="Arial"/>
                            <w:i/>
                            <w:sz w:val="20"/>
                            <w:szCs w:val="20"/>
                          </w:rPr>
                        </m:ctrlPr>
                      </m:fPr>
                      <m:num>
                        <m:r>
                          <w:rPr>
                            <w:rFonts w:ascii="Cambria Math" w:eastAsiaTheme="minorEastAsia" w:hAnsi="Cambria Math" w:cs="Arial"/>
                            <w:sz w:val="20"/>
                            <w:szCs w:val="20"/>
                          </w:rPr>
                          <m:t>P</m:t>
                        </m:r>
                        <m:r>
                          <w:rPr>
                            <w:rFonts w:ascii="Cambria Math" w:eastAsiaTheme="minorEastAsia" w:hAnsi="Cambria Math" w:cs="Arial"/>
                            <w:sz w:val="20"/>
                            <w:szCs w:val="20"/>
                          </w:rPr>
                          <m:t>(</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Y</m:t>
                            </m:r>
                          </m:e>
                          <m:sub>
                            <m:r>
                              <w:rPr>
                                <w:rFonts w:ascii="Cambria Math" w:eastAsiaTheme="minorEastAsia" w:hAnsi="Cambria Math" w:cs="Arial"/>
                                <w:color w:val="000000" w:themeColor="text1"/>
                                <w:sz w:val="20"/>
                                <w:szCs w:val="20"/>
                              </w:rPr>
                              <m:t>24</m:t>
                            </m:r>
                          </m:sub>
                        </m:sSub>
                        <m:d>
                          <m:dPr>
                            <m:ctrlPr>
                              <w:rPr>
                                <w:rFonts w:ascii="Cambria Math" w:eastAsiaTheme="minorEastAsia" w:hAnsi="Cambria Math" w:cs="Arial"/>
                                <w:i/>
                                <w:color w:val="000000" w:themeColor="text1"/>
                                <w:sz w:val="20"/>
                                <w:szCs w:val="20"/>
                              </w:rPr>
                            </m:ctrlPr>
                          </m:dPr>
                          <m:e>
                            <m:r>
                              <w:rPr>
                                <w:rFonts w:ascii="Cambria Math" w:eastAsiaTheme="minorEastAsia" w:hAnsi="Cambria Math" w:cs="Arial"/>
                                <w:color w:val="000000" w:themeColor="text1"/>
                                <w:sz w:val="20"/>
                                <w:szCs w:val="20"/>
                              </w:rPr>
                              <m:t>0</m:t>
                            </m:r>
                          </m:e>
                        </m:d>
                        <m:r>
                          <m:rPr>
                            <m:sty m:val="p"/>
                          </m:rPr>
                          <w:rPr>
                            <w:rFonts w:ascii="Cambria Math" w:eastAsiaTheme="minorEastAsia" w:hAnsi="Cambria Math" w:cs="Arial"/>
                            <w:color w:val="000000" w:themeColor="text1"/>
                            <w:sz w:val="20"/>
                            <w:szCs w:val="20"/>
                          </w:rPr>
                          <m:t xml:space="preserve"> </m:t>
                        </m:r>
                        <m:r>
                          <w:rPr>
                            <w:rFonts w:ascii="Cambria Math" w:eastAsiaTheme="minorEastAsia" w:hAnsi="Cambria Math" w:cs="Arial"/>
                            <w:color w:val="000000" w:themeColor="text1"/>
                            <w:sz w:val="20"/>
                            <w:szCs w:val="20"/>
                          </w:rPr>
                          <m:t xml:space="preserve"> </m:t>
                        </m:r>
                        <m:r>
                          <w:rPr>
                            <w:rFonts w:ascii="Cambria Math" w:eastAsiaTheme="minorEastAsia" w:hAnsi="Cambria Math" w:cs="Arial"/>
                            <w:sz w:val="20"/>
                            <w:szCs w:val="20"/>
                          </w:rPr>
                          <m:t>=1)</m:t>
                        </m:r>
                      </m:num>
                      <m:den>
                        <m:r>
                          <w:rPr>
                            <w:rFonts w:ascii="Cambria Math" w:eastAsiaTheme="minorEastAsia" w:hAnsi="Cambria Math" w:cs="Arial"/>
                            <w:sz w:val="20"/>
                            <w:szCs w:val="20"/>
                          </w:rPr>
                          <m:t>P</m:t>
                        </m:r>
                        <m:r>
                          <w:rPr>
                            <w:rFonts w:ascii="Cambria Math" w:eastAsiaTheme="minorEastAsia" w:hAnsi="Cambria Math" w:cs="Arial"/>
                            <w:sz w:val="20"/>
                            <w:szCs w:val="20"/>
                          </w:rPr>
                          <m:t>(</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Y</m:t>
                            </m:r>
                          </m:e>
                          <m:sub>
                            <m:r>
                              <w:rPr>
                                <w:rFonts w:ascii="Cambria Math" w:eastAsiaTheme="minorEastAsia" w:hAnsi="Cambria Math" w:cs="Arial"/>
                                <w:color w:val="000000" w:themeColor="text1"/>
                                <w:sz w:val="20"/>
                                <w:szCs w:val="20"/>
                              </w:rPr>
                              <m:t>24</m:t>
                            </m:r>
                          </m:sub>
                        </m:sSub>
                        <m:d>
                          <m:dPr>
                            <m:ctrlPr>
                              <w:rPr>
                                <w:rFonts w:ascii="Cambria Math" w:eastAsiaTheme="minorEastAsia" w:hAnsi="Cambria Math" w:cs="Arial"/>
                                <w:i/>
                                <w:color w:val="000000" w:themeColor="text1"/>
                                <w:sz w:val="20"/>
                                <w:szCs w:val="20"/>
                              </w:rPr>
                            </m:ctrlPr>
                          </m:dPr>
                          <m:e>
                            <m:r>
                              <w:rPr>
                                <w:rFonts w:ascii="Cambria Math" w:eastAsiaTheme="minorEastAsia" w:hAnsi="Cambria Math" w:cs="Arial"/>
                                <w:color w:val="000000" w:themeColor="text1"/>
                                <w:sz w:val="20"/>
                                <w:szCs w:val="20"/>
                              </w:rPr>
                              <m:t>0</m:t>
                            </m:r>
                          </m:e>
                        </m:d>
                        <m:r>
                          <m:rPr>
                            <m:sty m:val="p"/>
                          </m:rPr>
                          <w:rPr>
                            <w:rFonts w:ascii="Cambria Math" w:eastAsiaTheme="minorEastAsia" w:hAnsi="Cambria Math" w:cs="Arial"/>
                            <w:color w:val="000000" w:themeColor="text1"/>
                            <w:sz w:val="20"/>
                            <w:szCs w:val="20"/>
                          </w:rPr>
                          <m:t xml:space="preserve"> </m:t>
                        </m:r>
                        <m:r>
                          <w:rPr>
                            <w:rFonts w:ascii="Cambria Math" w:eastAsiaTheme="minorEastAsia" w:hAnsi="Cambria Math" w:cs="Arial"/>
                            <w:color w:val="000000" w:themeColor="text1"/>
                            <w:sz w:val="20"/>
                            <w:szCs w:val="20"/>
                          </w:rPr>
                          <m:t xml:space="preserve"> </m:t>
                        </m:r>
                        <m:r>
                          <w:rPr>
                            <w:rFonts w:ascii="Cambria Math" w:eastAsiaTheme="minorEastAsia" w:hAnsi="Cambria Math" w:cs="Arial"/>
                            <w:sz w:val="20"/>
                            <w:szCs w:val="20"/>
                          </w:rPr>
                          <m:t>=0)</m:t>
                        </m:r>
                      </m:den>
                    </m:f>
                  </m:den>
                </m:f>
              </m:oMath>
            </m:oMathPara>
          </w:p>
          <w:p w14:paraId="752446CD" w14:textId="77777777" w:rsidR="0016723A" w:rsidRPr="00CE699C" w:rsidRDefault="0016723A" w:rsidP="004301FA">
            <w:pPr>
              <w:rPr>
                <w:rFonts w:ascii="Arial" w:eastAsiaTheme="minorEastAsia" w:hAnsi="Arial" w:cs="Arial"/>
                <w:sz w:val="20"/>
                <w:szCs w:val="20"/>
              </w:rPr>
            </w:pPr>
          </w:p>
        </w:tc>
        <w:tc>
          <w:tcPr>
            <w:tcW w:w="249" w:type="dxa"/>
          </w:tcPr>
          <w:p w14:paraId="0BBD2CD3" w14:textId="2ABF8CFE" w:rsidR="0016723A" w:rsidRPr="00CE699C" w:rsidRDefault="0016723A" w:rsidP="004301FA">
            <w:pPr>
              <w:rPr>
                <w:rFonts w:ascii="Arial" w:eastAsiaTheme="minorEastAsia" w:hAnsi="Arial" w:cs="Arial"/>
                <w:color w:val="000000" w:themeColor="text1"/>
                <w:sz w:val="20"/>
                <w:szCs w:val="20"/>
              </w:rPr>
            </w:pPr>
            <w:r w:rsidRPr="00CE699C">
              <w:rPr>
                <w:rFonts w:ascii="Arial" w:eastAsiaTheme="minorEastAsia" w:hAnsi="Arial" w:cs="Arial"/>
                <w:color w:val="000000" w:themeColor="text1"/>
                <w:sz w:val="20"/>
                <w:szCs w:val="20"/>
              </w:rPr>
              <w:t>(</w:t>
            </w:r>
            <w:r w:rsidR="0020419F" w:rsidRPr="00CE699C">
              <w:rPr>
                <w:rFonts w:ascii="Arial" w:eastAsiaTheme="minorEastAsia" w:hAnsi="Arial" w:cs="Arial"/>
                <w:color w:val="000000" w:themeColor="text1"/>
                <w:sz w:val="20"/>
                <w:szCs w:val="20"/>
              </w:rPr>
              <w:t>2</w:t>
            </w:r>
            <w:r w:rsidRPr="00CE699C">
              <w:rPr>
                <w:rFonts w:ascii="Arial" w:eastAsiaTheme="minorEastAsia" w:hAnsi="Arial" w:cs="Arial"/>
                <w:color w:val="000000" w:themeColor="text1"/>
                <w:sz w:val="20"/>
                <w:szCs w:val="20"/>
              </w:rPr>
              <w:t>)</w:t>
            </w:r>
          </w:p>
        </w:tc>
      </w:tr>
    </w:tbl>
    <w:p w14:paraId="4AA71999" w14:textId="5A7E09F4" w:rsidR="00A345F9" w:rsidRPr="00CE699C" w:rsidRDefault="00C86FD5" w:rsidP="009E0411">
      <w:pPr>
        <w:rPr>
          <w:rFonts w:ascii="Arial" w:hAnsi="Arial" w:cs="Arial"/>
          <w:color w:val="000000" w:themeColor="text1"/>
          <w:sz w:val="20"/>
          <w:szCs w:val="20"/>
        </w:rPr>
      </w:pPr>
      <w:r w:rsidRPr="00CE699C">
        <w:rPr>
          <w:rFonts w:ascii="Arial" w:hAnsi="Arial" w:cs="Arial"/>
          <w:color w:val="000000" w:themeColor="text1"/>
          <w:sz w:val="20"/>
          <w:szCs w:val="20"/>
        </w:rPr>
        <w:t>and risk ratios: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5"/>
        <w:gridCol w:w="461"/>
      </w:tblGrid>
      <w:tr w:rsidR="00C86FD5" w:rsidRPr="00CE699C" w14:paraId="3BC57D1E" w14:textId="77777777" w:rsidTr="004301FA">
        <w:tc>
          <w:tcPr>
            <w:tcW w:w="8767" w:type="dxa"/>
          </w:tcPr>
          <w:p w14:paraId="667B5AFE" w14:textId="3F180BC7" w:rsidR="00C86FD5" w:rsidRPr="00CE699C" w:rsidRDefault="00EE0D39" w:rsidP="004301FA">
            <w:pPr>
              <w:rPr>
                <w:rFonts w:ascii="Arial" w:eastAsiaTheme="minorEastAsia" w:hAnsi="Arial" w:cs="Arial"/>
                <w:sz w:val="20"/>
                <w:szCs w:val="20"/>
              </w:rPr>
            </w:pPr>
            <m:oMathPara>
              <m:oMath>
                <m:f>
                  <m:fPr>
                    <m:ctrlPr>
                      <w:rPr>
                        <w:rFonts w:ascii="Cambria Math" w:eastAsiaTheme="minorEastAsia" w:hAnsi="Cambria Math" w:cs="Arial"/>
                        <w:i/>
                        <w:sz w:val="20"/>
                        <w:szCs w:val="20"/>
                      </w:rPr>
                    </m:ctrlPr>
                  </m:fPr>
                  <m:num>
                    <m:r>
                      <w:rPr>
                        <w:rFonts w:ascii="Cambria Math" w:eastAsiaTheme="minorEastAsia" w:hAnsi="Cambria Math" w:cs="Arial"/>
                        <w:sz w:val="20"/>
                        <w:szCs w:val="20"/>
                      </w:rPr>
                      <m:t>P</m:t>
                    </m:r>
                    <m:r>
                      <w:rPr>
                        <w:rFonts w:ascii="Cambria Math" w:eastAsiaTheme="minorEastAsia" w:hAnsi="Cambria Math" w:cs="Arial"/>
                        <w:sz w:val="20"/>
                        <w:szCs w:val="20"/>
                      </w:rPr>
                      <m:t>(</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Y</m:t>
                        </m:r>
                      </m:e>
                      <m:sub>
                        <m:r>
                          <w:rPr>
                            <w:rFonts w:ascii="Cambria Math" w:eastAsiaTheme="minorEastAsia" w:hAnsi="Cambria Math" w:cs="Arial"/>
                            <w:color w:val="000000" w:themeColor="text1"/>
                            <w:sz w:val="20"/>
                            <w:szCs w:val="20"/>
                          </w:rPr>
                          <m:t>24</m:t>
                        </m:r>
                      </m:sub>
                    </m:sSub>
                    <m:d>
                      <m:dPr>
                        <m:ctrlPr>
                          <w:rPr>
                            <w:rFonts w:ascii="Cambria Math" w:eastAsiaTheme="minorEastAsia" w:hAnsi="Cambria Math" w:cs="Arial"/>
                            <w:i/>
                            <w:color w:val="000000" w:themeColor="text1"/>
                            <w:sz w:val="20"/>
                            <w:szCs w:val="20"/>
                          </w:rPr>
                        </m:ctrlPr>
                      </m:dPr>
                      <m:e>
                        <m:r>
                          <w:rPr>
                            <w:rFonts w:ascii="Cambria Math" w:eastAsiaTheme="minorEastAsia" w:hAnsi="Cambria Math" w:cs="Arial"/>
                            <w:color w:val="000000" w:themeColor="text1"/>
                            <w:sz w:val="20"/>
                            <w:szCs w:val="20"/>
                          </w:rPr>
                          <m:t>1</m:t>
                        </m:r>
                      </m:e>
                    </m:d>
                    <m:r>
                      <m:rPr>
                        <m:sty m:val="p"/>
                      </m:rPr>
                      <w:rPr>
                        <w:rFonts w:ascii="Cambria Math" w:eastAsiaTheme="minorEastAsia" w:hAnsi="Cambria Math" w:cs="Arial"/>
                        <w:color w:val="000000" w:themeColor="text1"/>
                        <w:sz w:val="20"/>
                        <w:szCs w:val="20"/>
                      </w:rPr>
                      <m:t xml:space="preserve"> </m:t>
                    </m:r>
                    <m:r>
                      <w:rPr>
                        <w:rFonts w:ascii="Cambria Math" w:eastAsiaTheme="minorEastAsia" w:hAnsi="Cambria Math" w:cs="Arial"/>
                        <w:sz w:val="20"/>
                        <w:szCs w:val="20"/>
                      </w:rPr>
                      <m:t>=1)</m:t>
                    </m:r>
                  </m:num>
                  <m:den>
                    <m:r>
                      <w:rPr>
                        <w:rFonts w:ascii="Cambria Math" w:eastAsiaTheme="minorEastAsia" w:hAnsi="Cambria Math" w:cs="Arial"/>
                        <w:sz w:val="20"/>
                        <w:szCs w:val="20"/>
                      </w:rPr>
                      <m:t>P</m:t>
                    </m:r>
                    <m:r>
                      <w:rPr>
                        <w:rFonts w:ascii="Cambria Math" w:eastAsiaTheme="minorEastAsia" w:hAnsi="Cambria Math" w:cs="Arial"/>
                        <w:sz w:val="20"/>
                        <w:szCs w:val="20"/>
                      </w:rPr>
                      <m:t>(</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Y</m:t>
                        </m:r>
                      </m:e>
                      <m:sub>
                        <m:r>
                          <w:rPr>
                            <w:rFonts w:ascii="Cambria Math" w:eastAsiaTheme="minorEastAsia" w:hAnsi="Cambria Math" w:cs="Arial"/>
                            <w:color w:val="000000" w:themeColor="text1"/>
                            <w:sz w:val="20"/>
                            <w:szCs w:val="20"/>
                          </w:rPr>
                          <m:t>24</m:t>
                        </m:r>
                      </m:sub>
                    </m:sSub>
                    <m:d>
                      <m:dPr>
                        <m:ctrlPr>
                          <w:rPr>
                            <w:rFonts w:ascii="Cambria Math" w:eastAsiaTheme="minorEastAsia" w:hAnsi="Cambria Math" w:cs="Arial"/>
                            <w:i/>
                            <w:color w:val="000000" w:themeColor="text1"/>
                            <w:sz w:val="20"/>
                            <w:szCs w:val="20"/>
                          </w:rPr>
                        </m:ctrlPr>
                      </m:dPr>
                      <m:e>
                        <m:r>
                          <w:rPr>
                            <w:rFonts w:ascii="Cambria Math" w:eastAsiaTheme="minorEastAsia" w:hAnsi="Cambria Math" w:cs="Arial"/>
                            <w:color w:val="000000" w:themeColor="text1"/>
                            <w:sz w:val="20"/>
                            <w:szCs w:val="20"/>
                          </w:rPr>
                          <m:t>0</m:t>
                        </m:r>
                      </m:e>
                    </m:d>
                    <m:r>
                      <m:rPr>
                        <m:sty m:val="p"/>
                      </m:rPr>
                      <w:rPr>
                        <w:rFonts w:ascii="Cambria Math" w:eastAsiaTheme="minorEastAsia" w:hAnsi="Cambria Math" w:cs="Arial"/>
                        <w:color w:val="000000" w:themeColor="text1"/>
                        <w:sz w:val="20"/>
                        <w:szCs w:val="20"/>
                      </w:rPr>
                      <m:t xml:space="preserve"> </m:t>
                    </m:r>
                    <m:r>
                      <w:rPr>
                        <w:rFonts w:ascii="Cambria Math" w:eastAsiaTheme="minorEastAsia" w:hAnsi="Cambria Math" w:cs="Arial"/>
                        <w:sz w:val="20"/>
                        <w:szCs w:val="20"/>
                      </w:rPr>
                      <m:t>=1)</m:t>
                    </m:r>
                  </m:den>
                </m:f>
              </m:oMath>
            </m:oMathPara>
          </w:p>
        </w:tc>
        <w:tc>
          <w:tcPr>
            <w:tcW w:w="249" w:type="dxa"/>
          </w:tcPr>
          <w:p w14:paraId="255EAAA7" w14:textId="75C72B68" w:rsidR="00C86FD5" w:rsidRPr="00CE699C" w:rsidRDefault="00C86FD5" w:rsidP="004301FA">
            <w:pPr>
              <w:rPr>
                <w:rFonts w:ascii="Arial" w:eastAsiaTheme="minorEastAsia" w:hAnsi="Arial" w:cs="Arial"/>
                <w:color w:val="000000" w:themeColor="text1"/>
                <w:sz w:val="20"/>
                <w:szCs w:val="20"/>
              </w:rPr>
            </w:pPr>
            <w:r w:rsidRPr="00CE699C">
              <w:rPr>
                <w:rFonts w:ascii="Arial" w:eastAsiaTheme="minorEastAsia" w:hAnsi="Arial" w:cs="Arial"/>
                <w:color w:val="000000" w:themeColor="text1"/>
                <w:sz w:val="20"/>
                <w:szCs w:val="20"/>
              </w:rPr>
              <w:t>(</w:t>
            </w:r>
            <w:r w:rsidR="0020419F" w:rsidRPr="00CE699C">
              <w:rPr>
                <w:rFonts w:ascii="Arial" w:eastAsiaTheme="minorEastAsia" w:hAnsi="Arial" w:cs="Arial"/>
                <w:color w:val="000000" w:themeColor="text1"/>
                <w:sz w:val="20"/>
                <w:szCs w:val="20"/>
              </w:rPr>
              <w:t>3</w:t>
            </w:r>
            <w:r w:rsidRPr="00CE699C">
              <w:rPr>
                <w:rFonts w:ascii="Arial" w:eastAsiaTheme="minorEastAsia" w:hAnsi="Arial" w:cs="Arial"/>
                <w:color w:val="000000" w:themeColor="text1"/>
                <w:sz w:val="20"/>
                <w:szCs w:val="20"/>
              </w:rPr>
              <w:t>)</w:t>
            </w:r>
          </w:p>
        </w:tc>
      </w:tr>
      <w:tr w:rsidR="0020419F" w:rsidRPr="00CE699C" w14:paraId="2A9BBFF3" w14:textId="77777777" w:rsidTr="004301FA">
        <w:tc>
          <w:tcPr>
            <w:tcW w:w="8767" w:type="dxa"/>
          </w:tcPr>
          <w:p w14:paraId="7E478EDA" w14:textId="77777777" w:rsidR="0020419F" w:rsidRPr="00CE699C" w:rsidRDefault="0020419F" w:rsidP="004301FA">
            <w:pPr>
              <w:rPr>
                <w:rFonts w:ascii="Arial" w:eastAsia="Aptos" w:hAnsi="Arial" w:cs="Arial"/>
                <w:sz w:val="20"/>
                <w:szCs w:val="20"/>
              </w:rPr>
            </w:pPr>
          </w:p>
        </w:tc>
        <w:tc>
          <w:tcPr>
            <w:tcW w:w="249" w:type="dxa"/>
          </w:tcPr>
          <w:p w14:paraId="1A402A19" w14:textId="77777777" w:rsidR="0020419F" w:rsidRPr="00CE699C" w:rsidRDefault="0020419F" w:rsidP="004301FA">
            <w:pPr>
              <w:rPr>
                <w:rFonts w:ascii="Arial" w:eastAsiaTheme="minorEastAsia" w:hAnsi="Arial" w:cs="Arial"/>
                <w:color w:val="000000" w:themeColor="text1"/>
                <w:sz w:val="20"/>
                <w:szCs w:val="20"/>
              </w:rPr>
            </w:pPr>
          </w:p>
        </w:tc>
      </w:tr>
    </w:tbl>
    <w:p w14:paraId="259EEE5F" w14:textId="49F964EF" w:rsidR="00C86FD5" w:rsidRPr="00CE699C" w:rsidRDefault="00C86FD5" w:rsidP="009E0411">
      <w:pPr>
        <w:rPr>
          <w:rFonts w:ascii="Arial" w:hAnsi="Arial" w:cs="Arial"/>
          <w:color w:val="000000" w:themeColor="text1"/>
          <w:sz w:val="20"/>
          <w:szCs w:val="20"/>
        </w:rPr>
      </w:pPr>
      <w:r w:rsidRPr="00CE699C">
        <w:rPr>
          <w:rFonts w:ascii="Arial" w:hAnsi="Arial" w:cs="Arial"/>
          <w:color w:val="000000" w:themeColor="text1"/>
          <w:sz w:val="20"/>
          <w:szCs w:val="20"/>
        </w:rPr>
        <w:t xml:space="preserve">For time-to-event outcomes, </w:t>
      </w:r>
      <w:r w:rsidR="005C1E6B" w:rsidRPr="00CE699C">
        <w:rPr>
          <w:rFonts w:ascii="Arial" w:hAnsi="Arial" w:cs="Arial"/>
          <w:color w:val="000000" w:themeColor="text1"/>
          <w:sz w:val="20"/>
          <w:szCs w:val="20"/>
        </w:rPr>
        <w:t xml:space="preserve">the </w:t>
      </w:r>
      <w:r w:rsidR="00702B84">
        <w:rPr>
          <w:rFonts w:ascii="Arial" w:hAnsi="Arial" w:cs="Arial"/>
          <w:color w:val="000000" w:themeColor="text1"/>
          <w:sz w:val="20"/>
          <w:szCs w:val="20"/>
        </w:rPr>
        <w:t>cause specific</w:t>
      </w:r>
      <w:r w:rsidR="005C1E6B" w:rsidRPr="00CE699C">
        <w:rPr>
          <w:rFonts w:ascii="Arial" w:hAnsi="Arial" w:cs="Arial"/>
          <w:color w:val="000000" w:themeColor="text1"/>
          <w:sz w:val="20"/>
          <w:szCs w:val="20"/>
        </w:rPr>
        <w:t xml:space="preserve"> hazard function will be of interest:</w:t>
      </w:r>
    </w:p>
    <w:tbl>
      <w:tblPr>
        <w:tblStyle w:val="TableGrid"/>
        <w:tblW w:w="0" w:type="auto"/>
        <w:tblLook w:val="04A0" w:firstRow="1" w:lastRow="0" w:firstColumn="1" w:lastColumn="0" w:noHBand="0" w:noVBand="1"/>
      </w:tblPr>
      <w:tblGrid>
        <w:gridCol w:w="8565"/>
        <w:gridCol w:w="461"/>
      </w:tblGrid>
      <w:tr w:rsidR="00D50B9B" w:rsidRPr="00CE699C" w14:paraId="36A11020" w14:textId="77777777" w:rsidTr="00CE699C">
        <w:tc>
          <w:tcPr>
            <w:tcW w:w="8565" w:type="dxa"/>
            <w:tcBorders>
              <w:top w:val="nil"/>
              <w:left w:val="nil"/>
              <w:bottom w:val="nil"/>
              <w:right w:val="nil"/>
            </w:tcBorders>
          </w:tcPr>
          <w:p w14:paraId="54012777" w14:textId="6C06297D" w:rsidR="00D50B9B" w:rsidRPr="003F7B1C" w:rsidRDefault="00CE699C" w:rsidP="003F7B1C">
            <w:pPr>
              <w:jc w:val="center"/>
              <w:rPr>
                <w:rFonts w:ascii="Arial" w:eastAsiaTheme="minorEastAsia" w:hAnsi="Arial" w:cs="Arial"/>
                <w:sz w:val="20"/>
                <w:szCs w:val="20"/>
              </w:rPr>
            </w:pPr>
            <w:r w:rsidRPr="003F7B1C">
              <w:rPr>
                <w:rFonts w:ascii="Arial" w:eastAsiaTheme="minorEastAsia" w:hAnsi="Arial" w:cs="Arial"/>
                <w:sz w:val="20"/>
                <w:szCs w:val="20"/>
              </w:rPr>
              <w:t xml:space="preserve">Hazard function: </w:t>
            </w:r>
            <m:oMath>
              <m:r>
                <w:rPr>
                  <w:rFonts w:ascii="Cambria Math" w:hAnsi="Cambria Math" w:cs="Arial"/>
                  <w:sz w:val="20"/>
                  <w:szCs w:val="20"/>
                </w:rPr>
                <m:t>h(t)=</m:t>
              </m:r>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∆t→0</m:t>
                      </m:r>
                    </m:lim>
                  </m:limLow>
                </m:fName>
                <m:e>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∆t</m:t>
                      </m:r>
                    </m:den>
                  </m:f>
                  <m:r>
                    <w:rPr>
                      <w:rFonts w:ascii="Cambria Math" w:hAnsi="Cambria Math" w:cs="Arial"/>
                      <w:sz w:val="20"/>
                      <w:szCs w:val="20"/>
                    </w:rPr>
                    <m:t>P</m:t>
                  </m:r>
                  <m:d>
                    <m:dPr>
                      <m:endChr m:val="|"/>
                      <m:ctrlPr>
                        <w:rPr>
                          <w:rFonts w:ascii="Cambria Math" w:hAnsi="Cambria Math" w:cs="Arial"/>
                          <w:i/>
                          <w:sz w:val="20"/>
                          <w:szCs w:val="20"/>
                        </w:rPr>
                      </m:ctrlPr>
                    </m:dPr>
                    <m:e>
                      <m:r>
                        <w:rPr>
                          <w:rFonts w:ascii="Cambria Math" w:hAnsi="Cambria Math" w:cs="Arial"/>
                          <w:sz w:val="20"/>
                          <w:szCs w:val="20"/>
                        </w:rPr>
                        <m:t xml:space="preserve">t&lt;T&lt;t+∆t, D=1 </m:t>
                      </m:r>
                    </m:e>
                  </m:d>
                  <m:r>
                    <w:rPr>
                      <w:rFonts w:ascii="Cambria Math" w:hAnsi="Cambria Math" w:cs="Arial"/>
                      <w:sz w:val="20"/>
                      <w:szCs w:val="20"/>
                    </w:rPr>
                    <m:t>T&gt;t)</m:t>
                  </m:r>
                </m:e>
              </m:func>
            </m:oMath>
            <w:r w:rsidR="00D50B9B" w:rsidRPr="003F7B1C">
              <w:rPr>
                <w:rFonts w:ascii="Arial" w:eastAsiaTheme="minorEastAsia" w:hAnsi="Arial" w:cs="Arial"/>
                <w:sz w:val="20"/>
                <w:szCs w:val="20"/>
              </w:rPr>
              <w:t xml:space="preserve"> </w:t>
            </w:r>
          </w:p>
          <w:p w14:paraId="4B53E861" w14:textId="77777777" w:rsidR="00D50B9B" w:rsidRPr="00CE699C" w:rsidRDefault="00D50B9B" w:rsidP="004301FA">
            <w:pPr>
              <w:rPr>
                <w:rFonts w:ascii="Arial" w:eastAsiaTheme="minorEastAsia" w:hAnsi="Arial" w:cs="Arial"/>
                <w:sz w:val="20"/>
                <w:szCs w:val="20"/>
              </w:rPr>
            </w:pPr>
          </w:p>
        </w:tc>
        <w:tc>
          <w:tcPr>
            <w:tcW w:w="461" w:type="dxa"/>
            <w:tcBorders>
              <w:top w:val="nil"/>
              <w:left w:val="nil"/>
              <w:bottom w:val="nil"/>
              <w:right w:val="nil"/>
            </w:tcBorders>
          </w:tcPr>
          <w:p w14:paraId="6D06BD82" w14:textId="4EA7EE35" w:rsidR="00D50B9B" w:rsidRPr="00CE699C" w:rsidRDefault="00D50B9B" w:rsidP="004301FA">
            <w:pPr>
              <w:rPr>
                <w:rFonts w:ascii="Arial" w:eastAsiaTheme="minorEastAsia" w:hAnsi="Arial" w:cs="Arial"/>
                <w:color w:val="000000" w:themeColor="text1"/>
                <w:sz w:val="20"/>
                <w:szCs w:val="20"/>
              </w:rPr>
            </w:pPr>
          </w:p>
        </w:tc>
      </w:tr>
    </w:tbl>
    <w:p w14:paraId="3797C22E" w14:textId="204E93EC" w:rsidR="00D50B9B" w:rsidRPr="00CE699C" w:rsidRDefault="003F7B1C" w:rsidP="009E0411">
      <w:pPr>
        <w:rPr>
          <w:rFonts w:ascii="Arial" w:hAnsi="Arial" w:cs="Arial"/>
          <w:color w:val="000000" w:themeColor="text1"/>
          <w:sz w:val="20"/>
          <w:szCs w:val="20"/>
        </w:rPr>
      </w:pPr>
      <w:r w:rsidRPr="003F7B1C">
        <w:rPr>
          <w:rFonts w:ascii="Arial" w:eastAsiaTheme="minorEastAsia" w:hAnsi="Arial" w:cs="Arial"/>
          <w:kern w:val="0"/>
          <w:sz w:val="20"/>
          <w:szCs w:val="20"/>
        </w:rPr>
        <w:t xml:space="preserve">where T is the event time and </w:t>
      </w:r>
      <m:oMath>
        <m:r>
          <w:rPr>
            <w:rFonts w:ascii="Cambria Math" w:hAnsi="Cambria Math" w:cs="Arial"/>
            <w:color w:val="000000" w:themeColor="text1"/>
            <w:kern w:val="0"/>
            <w:sz w:val="20"/>
            <w:szCs w:val="20"/>
          </w:rPr>
          <m:t>D=1</m:t>
        </m:r>
      </m:oMath>
      <w:r w:rsidRPr="003F7B1C">
        <w:rPr>
          <w:rFonts w:ascii="Arial" w:eastAsiaTheme="minorEastAsia" w:hAnsi="Arial" w:cs="Arial"/>
          <w:color w:val="000000" w:themeColor="text1"/>
          <w:kern w:val="0"/>
          <w:sz w:val="20"/>
          <w:szCs w:val="20"/>
        </w:rPr>
        <w:t xml:space="preserve"> denotes the event of interest (as opposed to competing events such as death or organ transplant)</w:t>
      </w:r>
      <w:r>
        <w:rPr>
          <w:rFonts w:ascii="Arial" w:eastAsiaTheme="minorEastAsia" w:hAnsi="Arial" w:cs="Arial"/>
          <w:color w:val="000000" w:themeColor="text1"/>
          <w:kern w:val="0"/>
          <w:sz w:val="20"/>
          <w:szCs w:val="20"/>
        </w:rPr>
        <w:t xml:space="preserve">. </w:t>
      </w:r>
      <w:r w:rsidR="00B32A8A">
        <w:rPr>
          <w:rFonts w:ascii="Arial" w:hAnsi="Arial" w:cs="Arial"/>
          <w:color w:val="000000" w:themeColor="text1"/>
          <w:sz w:val="20"/>
          <w:szCs w:val="20"/>
        </w:rPr>
        <w:t>T</w:t>
      </w:r>
      <w:r w:rsidR="00D5581E" w:rsidRPr="00CE699C">
        <w:rPr>
          <w:rFonts w:ascii="Arial" w:hAnsi="Arial" w:cs="Arial"/>
          <w:color w:val="000000" w:themeColor="text1"/>
          <w:sz w:val="20"/>
          <w:szCs w:val="20"/>
        </w:rPr>
        <w:t xml:space="preserve">he estimand of interest will be the </w:t>
      </w:r>
      <w:r w:rsidR="001A78E7">
        <w:rPr>
          <w:rFonts w:ascii="Arial" w:hAnsi="Arial" w:cs="Arial"/>
          <w:color w:val="000000" w:themeColor="text1"/>
          <w:sz w:val="20"/>
          <w:szCs w:val="20"/>
        </w:rPr>
        <w:t xml:space="preserve">cause specific </w:t>
      </w:r>
      <w:r w:rsidR="00D5581E" w:rsidRPr="00CE699C">
        <w:rPr>
          <w:rFonts w:ascii="Arial" w:hAnsi="Arial" w:cs="Arial"/>
          <w:color w:val="000000" w:themeColor="text1"/>
          <w:sz w:val="20"/>
          <w:szCs w:val="20"/>
        </w:rPr>
        <w:t>hazard ratio: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5"/>
        <w:gridCol w:w="461"/>
      </w:tblGrid>
      <w:tr w:rsidR="00D5581E" w:rsidRPr="00CE699C" w14:paraId="0D8012B7" w14:textId="77777777" w:rsidTr="004301FA">
        <w:tc>
          <w:tcPr>
            <w:tcW w:w="8767" w:type="dxa"/>
          </w:tcPr>
          <w:p w14:paraId="54E87611" w14:textId="5EB72D60" w:rsidR="00D5581E" w:rsidRPr="00CE699C" w:rsidRDefault="00EE0D39" w:rsidP="004301FA">
            <w:pPr>
              <w:rPr>
                <w:rFonts w:ascii="Arial" w:eastAsiaTheme="minorEastAsia" w:hAnsi="Arial" w:cs="Arial"/>
                <w:sz w:val="20"/>
                <w:szCs w:val="20"/>
              </w:rPr>
            </w:pPr>
            <m:oMathPara>
              <m:oMath>
                <m:f>
                  <m:fPr>
                    <m:ctrlPr>
                      <w:rPr>
                        <w:rFonts w:ascii="Cambria Math" w:eastAsiaTheme="minorEastAsia" w:hAnsi="Cambria Math" w:cs="Arial"/>
                        <w:i/>
                        <w:sz w:val="20"/>
                        <w:szCs w:val="20"/>
                      </w:rPr>
                    </m:ctrlPr>
                  </m:fPr>
                  <m:num>
                    <m:sSup>
                      <m:sSupPr>
                        <m:ctrlPr>
                          <w:rPr>
                            <w:rFonts w:ascii="Cambria Math" w:eastAsiaTheme="minorEastAsia" w:hAnsi="Cambria Math" w:cs="Arial"/>
                            <w:i/>
                            <w:color w:val="000000" w:themeColor="text1"/>
                            <w:kern w:val="2"/>
                            <w:sz w:val="20"/>
                            <w:szCs w:val="20"/>
                          </w:rPr>
                        </m:ctrlPr>
                      </m:sSupPr>
                      <m:e>
                        <m:r>
                          <w:rPr>
                            <w:rFonts w:ascii="Cambria Math" w:eastAsiaTheme="minorEastAsia" w:hAnsi="Cambria Math" w:cs="Arial"/>
                            <w:color w:val="000000" w:themeColor="text1"/>
                            <w:sz w:val="20"/>
                            <w:szCs w:val="20"/>
                          </w:rPr>
                          <m:t>h</m:t>
                        </m:r>
                      </m:e>
                      <m:sup>
                        <m:r>
                          <w:rPr>
                            <w:rFonts w:ascii="Cambria Math" w:eastAsiaTheme="minorEastAsia" w:hAnsi="Cambria Math" w:cs="Arial"/>
                            <w:color w:val="000000" w:themeColor="text1"/>
                            <w:sz w:val="20"/>
                            <w:szCs w:val="20"/>
                          </w:rPr>
                          <m:t>1</m:t>
                        </m:r>
                      </m:sup>
                    </m:sSup>
                    <m:r>
                      <w:rPr>
                        <w:rFonts w:ascii="Cambria Math" w:eastAsiaTheme="minorEastAsia" w:hAnsi="Cambria Math" w:cs="Arial"/>
                        <w:color w:val="000000" w:themeColor="text1"/>
                        <w:sz w:val="20"/>
                        <w:szCs w:val="20"/>
                      </w:rPr>
                      <m:t>(</m:t>
                    </m:r>
                    <m:r>
                      <w:rPr>
                        <w:rFonts w:ascii="Cambria Math" w:eastAsiaTheme="minorEastAsia" w:hAnsi="Cambria Math" w:cs="Arial"/>
                        <w:color w:val="000000" w:themeColor="text1"/>
                        <w:sz w:val="20"/>
                        <w:szCs w:val="20"/>
                      </w:rPr>
                      <m:t>t</m:t>
                    </m:r>
                    <m:r>
                      <w:rPr>
                        <w:rFonts w:ascii="Cambria Math" w:eastAsiaTheme="minorEastAsia" w:hAnsi="Cambria Math" w:cs="Arial"/>
                        <w:color w:val="000000" w:themeColor="text1"/>
                        <w:sz w:val="20"/>
                        <w:szCs w:val="20"/>
                      </w:rPr>
                      <m:t xml:space="preserve">) </m:t>
                    </m:r>
                  </m:num>
                  <m:den>
                    <m:sSup>
                      <m:sSupPr>
                        <m:ctrlPr>
                          <w:rPr>
                            <w:rFonts w:ascii="Cambria Math" w:eastAsiaTheme="minorEastAsia" w:hAnsi="Cambria Math" w:cs="Arial"/>
                            <w:i/>
                            <w:color w:val="000000" w:themeColor="text1"/>
                            <w:kern w:val="2"/>
                            <w:sz w:val="20"/>
                            <w:szCs w:val="20"/>
                          </w:rPr>
                        </m:ctrlPr>
                      </m:sSupPr>
                      <m:e>
                        <m:r>
                          <w:rPr>
                            <w:rFonts w:ascii="Cambria Math" w:eastAsiaTheme="minorEastAsia" w:hAnsi="Cambria Math" w:cs="Arial"/>
                            <w:color w:val="000000" w:themeColor="text1"/>
                            <w:sz w:val="20"/>
                            <w:szCs w:val="20"/>
                          </w:rPr>
                          <m:t>h</m:t>
                        </m:r>
                      </m:e>
                      <m:sup>
                        <m:r>
                          <w:rPr>
                            <w:rFonts w:ascii="Cambria Math" w:eastAsiaTheme="minorEastAsia" w:hAnsi="Cambria Math" w:cs="Arial"/>
                            <w:color w:val="000000" w:themeColor="text1"/>
                            <w:sz w:val="20"/>
                            <w:szCs w:val="20"/>
                          </w:rPr>
                          <m:t>0</m:t>
                        </m:r>
                      </m:sup>
                    </m:sSup>
                    <m:r>
                      <w:rPr>
                        <w:rFonts w:ascii="Cambria Math" w:eastAsiaTheme="minorEastAsia" w:hAnsi="Cambria Math" w:cs="Arial"/>
                        <w:color w:val="000000" w:themeColor="text1"/>
                        <w:sz w:val="20"/>
                        <w:szCs w:val="20"/>
                      </w:rPr>
                      <m:t>(</m:t>
                    </m:r>
                    <m:r>
                      <w:rPr>
                        <w:rFonts w:ascii="Cambria Math" w:eastAsiaTheme="minorEastAsia" w:hAnsi="Cambria Math" w:cs="Arial"/>
                        <w:color w:val="000000" w:themeColor="text1"/>
                        <w:sz w:val="20"/>
                        <w:szCs w:val="20"/>
                      </w:rPr>
                      <m:t>t</m:t>
                    </m:r>
                    <m:r>
                      <w:rPr>
                        <w:rFonts w:ascii="Cambria Math" w:eastAsiaTheme="minorEastAsia" w:hAnsi="Cambria Math" w:cs="Arial"/>
                        <w:color w:val="000000" w:themeColor="text1"/>
                        <w:sz w:val="20"/>
                        <w:szCs w:val="20"/>
                      </w:rPr>
                      <m:t xml:space="preserve">) </m:t>
                    </m:r>
                  </m:den>
                </m:f>
              </m:oMath>
            </m:oMathPara>
          </w:p>
        </w:tc>
        <w:tc>
          <w:tcPr>
            <w:tcW w:w="249" w:type="dxa"/>
          </w:tcPr>
          <w:p w14:paraId="75064B34" w14:textId="4E965BC7" w:rsidR="00D5581E" w:rsidRPr="00CE699C" w:rsidRDefault="00D5581E" w:rsidP="004301FA">
            <w:pPr>
              <w:rPr>
                <w:rFonts w:ascii="Arial" w:eastAsiaTheme="minorEastAsia" w:hAnsi="Arial" w:cs="Arial"/>
                <w:color w:val="000000" w:themeColor="text1"/>
                <w:sz w:val="20"/>
                <w:szCs w:val="20"/>
              </w:rPr>
            </w:pPr>
            <w:r w:rsidRPr="00CE699C">
              <w:rPr>
                <w:rFonts w:ascii="Arial" w:eastAsiaTheme="minorEastAsia" w:hAnsi="Arial" w:cs="Arial"/>
                <w:color w:val="000000" w:themeColor="text1"/>
                <w:sz w:val="20"/>
                <w:szCs w:val="20"/>
              </w:rPr>
              <w:t>(</w:t>
            </w:r>
            <w:r w:rsidR="00855097">
              <w:rPr>
                <w:rFonts w:ascii="Arial" w:eastAsiaTheme="minorEastAsia" w:hAnsi="Arial" w:cs="Arial"/>
                <w:color w:val="000000" w:themeColor="text1"/>
                <w:sz w:val="20"/>
                <w:szCs w:val="20"/>
              </w:rPr>
              <w:t>4</w:t>
            </w:r>
            <w:r w:rsidRPr="00CE699C">
              <w:rPr>
                <w:rFonts w:ascii="Arial" w:eastAsiaTheme="minorEastAsia" w:hAnsi="Arial" w:cs="Arial"/>
                <w:color w:val="000000" w:themeColor="text1"/>
                <w:sz w:val="20"/>
                <w:szCs w:val="20"/>
              </w:rPr>
              <w:t>)</w:t>
            </w:r>
          </w:p>
        </w:tc>
      </w:tr>
    </w:tbl>
    <w:p w14:paraId="75BFE672" w14:textId="4E9C439C" w:rsidR="00D5581E" w:rsidRPr="00CE699C" w:rsidRDefault="00CE699C" w:rsidP="009E0411">
      <w:pPr>
        <w:rPr>
          <w:rFonts w:ascii="Arial" w:hAnsi="Arial" w:cs="Arial"/>
          <w:color w:val="000000" w:themeColor="text1"/>
          <w:sz w:val="20"/>
          <w:szCs w:val="20"/>
        </w:rPr>
      </w:pPr>
      <w:r w:rsidRPr="00CE699C">
        <w:rPr>
          <w:rFonts w:ascii="Arial" w:hAnsi="Arial" w:cs="Arial"/>
          <w:color w:val="000000" w:themeColor="text1"/>
          <w:sz w:val="20"/>
          <w:szCs w:val="20"/>
        </w:rPr>
        <w:t xml:space="preserve">Where </w:t>
      </w:r>
      <m:oMath>
        <m:sSup>
          <m:sSupPr>
            <m:ctrlPr>
              <w:rPr>
                <w:rFonts w:ascii="Cambria Math" w:eastAsiaTheme="minorEastAsia" w:hAnsi="Cambria Math" w:cs="Arial"/>
                <w:i/>
                <w:color w:val="000000" w:themeColor="text1"/>
                <w:sz w:val="20"/>
                <w:szCs w:val="20"/>
              </w:rPr>
            </m:ctrlPr>
          </m:sSupPr>
          <m:e>
            <m:r>
              <w:rPr>
                <w:rFonts w:ascii="Cambria Math" w:eastAsiaTheme="minorEastAsia" w:hAnsi="Cambria Math" w:cs="Arial"/>
                <w:color w:val="000000" w:themeColor="text1"/>
                <w:sz w:val="20"/>
                <w:szCs w:val="20"/>
              </w:rPr>
              <m:t>h</m:t>
            </m:r>
          </m:e>
          <m:sup>
            <m:r>
              <w:rPr>
                <w:rFonts w:ascii="Cambria Math" w:eastAsiaTheme="minorEastAsia" w:hAnsi="Cambria Math" w:cs="Arial"/>
                <w:color w:val="000000" w:themeColor="text1"/>
                <w:sz w:val="20"/>
                <w:szCs w:val="20"/>
              </w:rPr>
              <m:t>0</m:t>
            </m:r>
          </m:sup>
        </m:sSup>
        <m:d>
          <m:dPr>
            <m:ctrlPr>
              <w:rPr>
                <w:rFonts w:ascii="Cambria Math" w:eastAsiaTheme="minorEastAsia" w:hAnsi="Cambria Math" w:cs="Arial"/>
                <w:i/>
                <w:color w:val="000000" w:themeColor="text1"/>
                <w:sz w:val="20"/>
                <w:szCs w:val="20"/>
              </w:rPr>
            </m:ctrlPr>
          </m:dPr>
          <m:e>
            <m:r>
              <w:rPr>
                <w:rFonts w:ascii="Cambria Math" w:eastAsiaTheme="minorEastAsia" w:hAnsi="Cambria Math" w:cs="Arial"/>
                <w:color w:val="000000" w:themeColor="text1"/>
                <w:sz w:val="20"/>
                <w:szCs w:val="20"/>
              </w:rPr>
              <m:t>t</m:t>
            </m:r>
          </m:e>
        </m:d>
      </m:oMath>
      <w:r w:rsidRPr="00CE699C">
        <w:rPr>
          <w:rFonts w:ascii="Arial" w:eastAsiaTheme="minorEastAsia" w:hAnsi="Arial" w:cs="Arial"/>
          <w:color w:val="000000" w:themeColor="text1"/>
          <w:sz w:val="20"/>
          <w:szCs w:val="20"/>
        </w:rPr>
        <w:t xml:space="preserve"> and </w:t>
      </w:r>
      <m:oMath>
        <m:sSup>
          <m:sSupPr>
            <m:ctrlPr>
              <w:rPr>
                <w:rFonts w:ascii="Cambria Math" w:eastAsiaTheme="minorEastAsia" w:hAnsi="Cambria Math" w:cs="Arial"/>
                <w:i/>
                <w:color w:val="000000" w:themeColor="text1"/>
                <w:sz w:val="20"/>
                <w:szCs w:val="20"/>
              </w:rPr>
            </m:ctrlPr>
          </m:sSupPr>
          <m:e>
            <m:r>
              <w:rPr>
                <w:rFonts w:ascii="Cambria Math" w:eastAsiaTheme="minorEastAsia" w:hAnsi="Cambria Math" w:cs="Arial"/>
                <w:color w:val="000000" w:themeColor="text1"/>
                <w:sz w:val="20"/>
                <w:szCs w:val="20"/>
              </w:rPr>
              <m:t>h</m:t>
            </m:r>
          </m:e>
          <m:sup>
            <m:r>
              <w:rPr>
                <w:rFonts w:ascii="Cambria Math" w:eastAsiaTheme="minorEastAsia" w:hAnsi="Cambria Math" w:cs="Arial"/>
                <w:color w:val="000000" w:themeColor="text1"/>
                <w:sz w:val="20"/>
                <w:szCs w:val="20"/>
              </w:rPr>
              <m:t>1</m:t>
            </m:r>
          </m:sup>
        </m:sSup>
        <m:r>
          <w:rPr>
            <w:rFonts w:ascii="Cambria Math" w:eastAsiaTheme="minorEastAsia" w:hAnsi="Cambria Math" w:cs="Arial"/>
            <w:color w:val="000000" w:themeColor="text1"/>
            <w:sz w:val="20"/>
            <w:szCs w:val="20"/>
          </w:rPr>
          <m:t>(t)</m:t>
        </m:r>
      </m:oMath>
      <w:r w:rsidRPr="00CE699C">
        <w:rPr>
          <w:rFonts w:ascii="Arial" w:eastAsiaTheme="minorEastAsia" w:hAnsi="Arial" w:cs="Arial"/>
          <w:color w:val="000000" w:themeColor="text1"/>
          <w:sz w:val="20"/>
          <w:szCs w:val="20"/>
        </w:rPr>
        <w:t xml:space="preserve"> are the potential </w:t>
      </w:r>
      <w:r w:rsidR="00420DB4">
        <w:rPr>
          <w:rFonts w:ascii="Arial" w:eastAsiaTheme="minorEastAsia" w:hAnsi="Arial" w:cs="Arial"/>
          <w:color w:val="000000" w:themeColor="text1"/>
          <w:sz w:val="20"/>
          <w:szCs w:val="20"/>
        </w:rPr>
        <w:t xml:space="preserve">cause specific </w:t>
      </w:r>
      <w:r w:rsidRPr="00CE699C">
        <w:rPr>
          <w:rFonts w:ascii="Arial" w:eastAsiaTheme="minorEastAsia" w:hAnsi="Arial" w:cs="Arial"/>
          <w:color w:val="000000" w:themeColor="text1"/>
          <w:sz w:val="20"/>
          <w:szCs w:val="20"/>
        </w:rPr>
        <w:t>hazards</w:t>
      </w:r>
      <w:r w:rsidR="005476F3">
        <w:rPr>
          <w:rFonts w:ascii="Arial" w:eastAsiaTheme="minorEastAsia" w:hAnsi="Arial" w:cs="Arial"/>
          <w:color w:val="000000" w:themeColor="text1"/>
          <w:sz w:val="20"/>
          <w:szCs w:val="20"/>
        </w:rPr>
        <w:t xml:space="preserve"> at time </w:t>
      </w:r>
      <m:oMath>
        <m:r>
          <w:rPr>
            <w:rFonts w:ascii="Cambria Math" w:eastAsiaTheme="minorEastAsia" w:hAnsi="Cambria Math" w:cs="Arial"/>
            <w:color w:val="000000" w:themeColor="text1"/>
            <w:sz w:val="20"/>
            <w:szCs w:val="20"/>
          </w:rPr>
          <m:t>t</m:t>
        </m:r>
      </m:oMath>
      <w:r w:rsidRPr="00CE699C">
        <w:rPr>
          <w:rFonts w:ascii="Arial" w:eastAsiaTheme="minorEastAsia" w:hAnsi="Arial" w:cs="Arial"/>
          <w:color w:val="000000" w:themeColor="text1"/>
          <w:sz w:val="20"/>
          <w:szCs w:val="20"/>
        </w:rPr>
        <w:t xml:space="preserve"> under treatment </w:t>
      </w:r>
      <m:oMath>
        <m:r>
          <w:rPr>
            <w:rFonts w:ascii="Cambria Math" w:eastAsiaTheme="minorEastAsia" w:hAnsi="Cambria Math" w:cs="Arial"/>
            <w:color w:val="000000" w:themeColor="text1"/>
            <w:sz w:val="20"/>
            <w:szCs w:val="20"/>
          </w:rPr>
          <m:t>A=0</m:t>
        </m:r>
      </m:oMath>
      <w:r w:rsidRPr="00CE699C">
        <w:rPr>
          <w:rFonts w:ascii="Arial" w:eastAsiaTheme="minorEastAsia" w:hAnsi="Arial" w:cs="Arial"/>
          <w:color w:val="000000" w:themeColor="text1"/>
          <w:sz w:val="20"/>
          <w:szCs w:val="20"/>
        </w:rPr>
        <w:t xml:space="preserve"> and </w:t>
      </w:r>
      <m:oMath>
        <m:r>
          <w:rPr>
            <w:rFonts w:ascii="Cambria Math" w:eastAsiaTheme="minorEastAsia" w:hAnsi="Cambria Math" w:cs="Arial"/>
            <w:color w:val="000000" w:themeColor="text1"/>
            <w:sz w:val="20"/>
            <w:szCs w:val="20"/>
          </w:rPr>
          <m:t>A=1</m:t>
        </m:r>
      </m:oMath>
      <w:r w:rsidRPr="00CE699C">
        <w:rPr>
          <w:rFonts w:ascii="Arial" w:eastAsiaTheme="minorEastAsia" w:hAnsi="Arial" w:cs="Arial"/>
          <w:color w:val="000000" w:themeColor="text1"/>
          <w:sz w:val="20"/>
          <w:szCs w:val="20"/>
        </w:rPr>
        <w:t>, respectively</w:t>
      </w:r>
      <m:oMath>
        <m:r>
          <w:rPr>
            <w:rFonts w:ascii="Cambria Math" w:eastAsiaTheme="minorEastAsia" w:hAnsi="Cambria Math" w:cs="Arial"/>
            <w:color w:val="000000" w:themeColor="text1"/>
            <w:sz w:val="20"/>
            <w:szCs w:val="20"/>
          </w:rPr>
          <m:t>.</m:t>
        </m:r>
      </m:oMath>
      <w:r w:rsidR="005476F3">
        <w:rPr>
          <w:rFonts w:ascii="Arial" w:eastAsiaTheme="minorEastAsia" w:hAnsi="Arial" w:cs="Arial"/>
          <w:color w:val="000000" w:themeColor="text1"/>
          <w:sz w:val="20"/>
          <w:szCs w:val="20"/>
        </w:rPr>
        <w:t xml:space="preserve"> We assume this ration is constant over time. </w:t>
      </w:r>
    </w:p>
    <w:p w14:paraId="3C796A7F" w14:textId="4B3798A3" w:rsidR="00C86FD5" w:rsidRPr="00CE699C" w:rsidRDefault="001678C4" w:rsidP="009E0411">
      <w:pPr>
        <w:rPr>
          <w:rFonts w:ascii="Arial" w:hAnsi="Arial" w:cs="Arial"/>
          <w:color w:val="000000" w:themeColor="text1"/>
          <w:sz w:val="20"/>
          <w:szCs w:val="20"/>
        </w:rPr>
      </w:pPr>
      <w:r w:rsidRPr="00CE699C">
        <w:rPr>
          <w:rFonts w:ascii="Arial" w:hAnsi="Arial" w:cs="Arial"/>
          <w:color w:val="000000" w:themeColor="text1"/>
          <w:sz w:val="20"/>
          <w:szCs w:val="20"/>
        </w:rPr>
        <w:t xml:space="preserve">These estimands are average </w:t>
      </w:r>
      <w:r w:rsidR="007C57F6">
        <w:rPr>
          <w:rFonts w:ascii="Arial" w:hAnsi="Arial" w:cs="Arial"/>
          <w:color w:val="000000" w:themeColor="text1"/>
          <w:sz w:val="20"/>
          <w:szCs w:val="20"/>
        </w:rPr>
        <w:t>treatment</w:t>
      </w:r>
      <w:r w:rsidRPr="00CE699C">
        <w:rPr>
          <w:rFonts w:ascii="Arial" w:hAnsi="Arial" w:cs="Arial"/>
          <w:color w:val="000000" w:themeColor="text1"/>
          <w:sz w:val="20"/>
          <w:szCs w:val="20"/>
        </w:rPr>
        <w:t xml:space="preserve"> effects</w:t>
      </w:r>
      <w:r w:rsidR="007C57F6">
        <w:rPr>
          <w:rFonts w:ascii="Arial" w:hAnsi="Arial" w:cs="Arial"/>
          <w:color w:val="000000" w:themeColor="text1"/>
          <w:sz w:val="20"/>
          <w:szCs w:val="20"/>
        </w:rPr>
        <w:t xml:space="preserve"> (ATE)</w:t>
      </w:r>
      <w:r w:rsidRPr="00CE699C">
        <w:rPr>
          <w:rFonts w:ascii="Arial" w:hAnsi="Arial" w:cs="Arial"/>
          <w:color w:val="000000" w:themeColor="text1"/>
          <w:sz w:val="20"/>
          <w:szCs w:val="20"/>
        </w:rPr>
        <w:t>. The expectations a</w:t>
      </w:r>
      <w:r w:rsidR="00855097">
        <w:rPr>
          <w:rFonts w:ascii="Arial" w:hAnsi="Arial" w:cs="Arial"/>
          <w:color w:val="000000" w:themeColor="text1"/>
          <w:sz w:val="20"/>
          <w:szCs w:val="20"/>
        </w:rPr>
        <w:t xml:space="preserve">nd </w:t>
      </w:r>
      <w:r w:rsidRPr="00CE699C">
        <w:rPr>
          <w:rFonts w:ascii="Arial" w:hAnsi="Arial" w:cs="Arial"/>
          <w:color w:val="000000" w:themeColor="text1"/>
          <w:sz w:val="20"/>
          <w:szCs w:val="20"/>
        </w:rPr>
        <w:t xml:space="preserve">probabilities </w:t>
      </w:r>
      <w:r w:rsidR="004C19D2" w:rsidRPr="00CE699C">
        <w:rPr>
          <w:rFonts w:ascii="Arial" w:hAnsi="Arial" w:cs="Arial"/>
          <w:color w:val="000000" w:themeColor="text1"/>
          <w:sz w:val="20"/>
          <w:szCs w:val="20"/>
        </w:rPr>
        <w:t xml:space="preserve">refer to the population of individuals meeting the trial eligibility criteria. </w:t>
      </w:r>
    </w:p>
    <w:p w14:paraId="391D9189" w14:textId="4202AEFB" w:rsidR="009E0411" w:rsidRPr="00DE4A49" w:rsidRDefault="00121AF5" w:rsidP="00464000">
      <w:pPr>
        <w:pStyle w:val="Heading3"/>
      </w:pPr>
      <w:r>
        <w:t xml:space="preserve">4.6.3 </w:t>
      </w:r>
      <w:r w:rsidR="009E0411" w:rsidRPr="00DE4A49">
        <w:t>Main analysis</w:t>
      </w:r>
    </w:p>
    <w:p w14:paraId="50AA9FC6" w14:textId="19EA6246" w:rsidR="00F21BBF" w:rsidRPr="002E4D04" w:rsidRDefault="002F31F8" w:rsidP="00F21BBF">
      <w:pPr>
        <w:rPr>
          <w:rFonts w:ascii="Arial" w:hAnsi="Arial" w:cs="Arial"/>
          <w:sz w:val="20"/>
          <w:szCs w:val="20"/>
        </w:rPr>
      </w:pPr>
      <w:r>
        <w:rPr>
          <w:rFonts w:ascii="Arial" w:hAnsi="Arial" w:cs="Arial"/>
          <w:sz w:val="20"/>
          <w:szCs w:val="20"/>
        </w:rPr>
        <w:t xml:space="preserve">In our analyses, we assume positivity, no interference, consistency and conditional exchangeability (conditional on </w:t>
      </w:r>
      <m:oMath>
        <m:r>
          <m:rPr>
            <m:sty m:val="bi"/>
          </m:rPr>
          <w:rPr>
            <w:rFonts w:ascii="Cambria Math" w:hAnsi="Cambria Math" w:cs="Arial"/>
            <w:sz w:val="20"/>
            <w:szCs w:val="20"/>
          </w:rPr>
          <m:t>C</m:t>
        </m:r>
      </m:oMath>
      <w:r>
        <w:rPr>
          <w:rFonts w:ascii="Arial" w:hAnsi="Arial" w:cs="Arial"/>
          <w:sz w:val="20"/>
          <w:szCs w:val="20"/>
        </w:rPr>
        <w:t>)</w:t>
      </w:r>
      <w:r w:rsidR="00275155">
        <w:rPr>
          <w:rFonts w:ascii="Arial" w:hAnsi="Arial" w:cs="Arial"/>
          <w:sz w:val="20"/>
          <w:szCs w:val="20"/>
        </w:rPr>
        <w:t xml:space="preserve"> [25]</w:t>
      </w:r>
      <w:r>
        <w:rPr>
          <w:rFonts w:ascii="Arial" w:hAnsi="Arial" w:cs="Arial"/>
          <w:sz w:val="20"/>
          <w:szCs w:val="20"/>
        </w:rPr>
        <w:t>. For each trial emulation, directed acyclic graphs will be developed</w:t>
      </w:r>
      <w:r w:rsidR="00CE313A">
        <w:rPr>
          <w:rFonts w:ascii="Arial" w:hAnsi="Arial" w:cs="Arial"/>
          <w:sz w:val="20"/>
          <w:szCs w:val="20"/>
        </w:rPr>
        <w:t xml:space="preserve"> </w:t>
      </w:r>
      <w:r w:rsidR="00456D0B">
        <w:rPr>
          <w:rFonts w:ascii="Arial" w:hAnsi="Arial" w:cs="Arial"/>
          <w:sz w:val="20"/>
          <w:szCs w:val="20"/>
        </w:rPr>
        <w:t>to help inform</w:t>
      </w:r>
      <w:r w:rsidR="00C37628">
        <w:rPr>
          <w:rFonts w:ascii="Arial" w:hAnsi="Arial" w:cs="Arial"/>
          <w:sz w:val="20"/>
          <w:szCs w:val="20"/>
        </w:rPr>
        <w:t xml:space="preserve"> which variables must be included in the adjustment set, </w:t>
      </w:r>
      <m:oMath>
        <m:r>
          <m:rPr>
            <m:sty m:val="bi"/>
          </m:rPr>
          <w:rPr>
            <w:rFonts w:ascii="Cambria Math" w:hAnsi="Cambria Math" w:cs="Arial"/>
            <w:sz w:val="20"/>
            <w:szCs w:val="20"/>
          </w:rPr>
          <m:t xml:space="preserve">C. </m:t>
        </m:r>
      </m:oMath>
      <w:r w:rsidR="009E0411" w:rsidRPr="00210432">
        <w:rPr>
          <w:rFonts w:ascii="Arial" w:hAnsi="Arial" w:cs="Arial"/>
          <w:sz w:val="20"/>
          <w:szCs w:val="20"/>
        </w:rPr>
        <w:t xml:space="preserve">We </w:t>
      </w:r>
      <w:r w:rsidR="00456D0B">
        <w:rPr>
          <w:rFonts w:ascii="Arial" w:hAnsi="Arial" w:cs="Arial"/>
          <w:sz w:val="20"/>
          <w:szCs w:val="20"/>
        </w:rPr>
        <w:t xml:space="preserve">will then </w:t>
      </w:r>
      <w:r w:rsidR="009E0411" w:rsidRPr="00210432">
        <w:rPr>
          <w:rFonts w:ascii="Arial" w:hAnsi="Arial" w:cs="Arial"/>
          <w:sz w:val="20"/>
          <w:szCs w:val="20"/>
        </w:rPr>
        <w:t xml:space="preserve">use augmented inverse-probability-of-treatment weighting (AIPTW) to control for potential confounding by </w:t>
      </w:r>
      <m:oMath>
        <m:r>
          <m:rPr>
            <m:sty m:val="bi"/>
          </m:rPr>
          <w:rPr>
            <w:rFonts w:ascii="Cambria Math" w:hAnsi="Cambria Math" w:cs="Arial"/>
            <w:sz w:val="20"/>
            <w:szCs w:val="20"/>
          </w:rPr>
          <m:t>C</m:t>
        </m:r>
      </m:oMath>
      <w:r w:rsidR="009E0411" w:rsidRPr="00210432">
        <w:rPr>
          <w:rFonts w:ascii="Arial" w:hAnsi="Arial" w:cs="Arial"/>
          <w:sz w:val="20"/>
          <w:szCs w:val="20"/>
        </w:rPr>
        <w:t xml:space="preserve">. </w:t>
      </w:r>
      <w:r w:rsidR="00972F52">
        <w:rPr>
          <w:rFonts w:ascii="Arial" w:hAnsi="Arial" w:cs="Arial"/>
          <w:sz w:val="20"/>
          <w:szCs w:val="20"/>
        </w:rPr>
        <w:t xml:space="preserve">AIPTW involves defining a treatment model (i.e., the propensity score model) and an outcome model. </w:t>
      </w:r>
      <w:r w:rsidR="00F21BBF" w:rsidRPr="00210432">
        <w:rPr>
          <w:rFonts w:ascii="Arial" w:hAnsi="Arial" w:cs="Arial"/>
          <w:sz w:val="20"/>
          <w:szCs w:val="20"/>
        </w:rPr>
        <w:t>The AIPTW estimator for</w:t>
      </w:r>
      <w:r w:rsidR="00F21BBF">
        <w:rPr>
          <w:rFonts w:ascii="Arial" w:hAnsi="Arial" w:cs="Arial"/>
          <w:sz w:val="20"/>
          <w:szCs w:val="20"/>
        </w:rPr>
        <w:t xml:space="preserve"> </w:t>
      </w:r>
      <m:oMath>
        <m:r>
          <w:rPr>
            <w:rFonts w:ascii="Cambria Math" w:hAnsi="Cambria Math" w:cs="Arial"/>
            <w:sz w:val="20"/>
            <w:szCs w:val="20"/>
          </w:rPr>
          <m:t>E[</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(a)]</m:t>
        </m:r>
        <m:r>
          <w:rPr>
            <w:rFonts w:ascii="Cambria Math" w:eastAsiaTheme="minorEastAsia" w:hAnsi="Cambria Math" w:cs="Arial"/>
            <w:sz w:val="20"/>
            <w:szCs w:val="20"/>
          </w:rPr>
          <m:t>, (a ∈{0,1})</m:t>
        </m:r>
      </m:oMath>
      <w:r w:rsidR="00F21BBF" w:rsidRPr="00210432">
        <w:rPr>
          <w:rFonts w:ascii="Arial" w:eastAsiaTheme="minorEastAsia" w:hAnsi="Arial" w:cs="Arial"/>
          <w:sz w:val="20"/>
          <w:szCs w:val="20"/>
        </w:rPr>
        <w:t xml:space="preserve"> is </w:t>
      </w:r>
      <w:r w:rsidR="00F21BBF">
        <w:rPr>
          <w:rFonts w:ascii="Arial" w:eastAsiaTheme="minorEastAsia" w:hAnsi="Arial" w:cs="Arial"/>
          <w:sz w:val="20"/>
          <w:szCs w:val="20"/>
        </w:rPr>
        <w:t xml:space="preserve">then </w:t>
      </w:r>
      <w:r w:rsidR="00F21BBF" w:rsidRPr="00210432">
        <w:rPr>
          <w:rFonts w:ascii="Arial" w:eastAsiaTheme="minorEastAsia" w:hAnsi="Arial" w:cs="Arial"/>
          <w:sz w:val="20"/>
          <w:szCs w:val="20"/>
        </w:rPr>
        <w:t>given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5"/>
        <w:gridCol w:w="461"/>
      </w:tblGrid>
      <w:tr w:rsidR="00F21BBF" w:rsidRPr="00210432" w14:paraId="606704FF" w14:textId="77777777" w:rsidTr="009E2A51">
        <w:tc>
          <w:tcPr>
            <w:tcW w:w="8642" w:type="dxa"/>
          </w:tcPr>
          <w:p w14:paraId="3CC06278" w14:textId="77777777" w:rsidR="00F21BBF" w:rsidRPr="00210432" w:rsidRDefault="00EE0D39" w:rsidP="009E2A51">
            <w:pPr>
              <w:rPr>
                <w:rFonts w:ascii="Arial" w:hAnsi="Arial" w:cs="Arial"/>
                <w:sz w:val="20"/>
                <w:szCs w:val="20"/>
              </w:rPr>
            </w:pPr>
            <m:oMathPara>
              <m:oMath>
                <m:acc>
                  <m:accPr>
                    <m:ctrlPr>
                      <w:rPr>
                        <w:rFonts w:ascii="Cambria Math" w:hAnsi="Cambria Math" w:cs="Arial"/>
                        <w:i/>
                        <w:sz w:val="20"/>
                        <w:szCs w:val="20"/>
                      </w:rPr>
                    </m:ctrlPr>
                  </m:accPr>
                  <m:e>
                    <m:r>
                      <w:rPr>
                        <w:rFonts w:ascii="Cambria Math" w:hAnsi="Cambria Math" w:cs="Arial"/>
                        <w:sz w:val="20"/>
                        <w:szCs w:val="20"/>
                      </w:rPr>
                      <m:t>E</m:t>
                    </m:r>
                  </m:e>
                </m:acc>
                <m:r>
                  <w:rPr>
                    <w:rFonts w:ascii="Cambria Math" w:hAnsi="Cambria Math" w:cs="Arial"/>
                    <w:sz w:val="20"/>
                    <w:szCs w:val="20"/>
                  </w:rPr>
                  <m:t>[</m:t>
                </m:r>
                <m:sSub>
                  <m:sSubPr>
                    <m:ctrlPr>
                      <w:rPr>
                        <w:rFonts w:ascii="Cambria Math" w:hAnsi="Cambria Math" w:cs="Arial"/>
                        <w:i/>
                        <w:kern w:val="2"/>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m:t>
                </m:r>
                <m:r>
                  <w:rPr>
                    <w:rFonts w:ascii="Cambria Math" w:hAnsi="Cambria Math" w:cs="Arial"/>
                    <w:sz w:val="20"/>
                    <w:szCs w:val="20"/>
                  </w:rPr>
                  <m:t>a</m:t>
                </m:r>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n</m:t>
                    </m:r>
                  </m:den>
                </m:f>
                <m:nary>
                  <m:naryPr>
                    <m:chr m:val="∑"/>
                    <m:limLoc m:val="undOvr"/>
                    <m:ctrlPr>
                      <w:rPr>
                        <w:rFonts w:ascii="Cambria Math" w:hAnsi="Cambria Math" w:cs="Arial"/>
                        <w:i/>
                        <w:sz w:val="20"/>
                        <w:szCs w:val="20"/>
                      </w:rPr>
                    </m:ctrlPr>
                  </m:naryPr>
                  <m:sub>
                    <m:r>
                      <w:rPr>
                        <w:rFonts w:ascii="Cambria Math" w:hAnsi="Cambria Math" w:cs="Arial"/>
                        <w:sz w:val="20"/>
                        <w:szCs w:val="20"/>
                      </w:rPr>
                      <m:t>i</m:t>
                    </m:r>
                    <m:r>
                      <w:rPr>
                        <w:rFonts w:ascii="Cambria Math" w:hAnsi="Cambria Math" w:cs="Arial"/>
                        <w:sz w:val="20"/>
                        <w:szCs w:val="20"/>
                      </w:rPr>
                      <m:t>=1</m:t>
                    </m:r>
                  </m:sub>
                  <m:sup>
                    <m:r>
                      <w:rPr>
                        <w:rFonts w:ascii="Cambria Math" w:hAnsi="Cambria Math" w:cs="Arial"/>
                        <w:sz w:val="20"/>
                        <w:szCs w:val="20"/>
                      </w:rPr>
                      <m:t>n</m:t>
                    </m:r>
                  </m:sup>
                  <m:e>
                    <m:d>
                      <m:dPr>
                        <m:begChr m:val="{"/>
                        <m:endChr m:val="}"/>
                        <m:ctrlPr>
                          <w:rPr>
                            <w:rFonts w:ascii="Cambria Math" w:hAnsi="Cambria Math" w:cs="Arial"/>
                            <w:i/>
                            <w:sz w:val="20"/>
                            <w:szCs w:val="20"/>
                          </w:rPr>
                        </m:ctrlPr>
                      </m:dPr>
                      <m:e>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I</m:t>
                                </m:r>
                                <m:r>
                                  <w:rPr>
                                    <w:rFonts w:ascii="Cambria Math" w:hAnsi="Cambria Math" w:cs="Arial"/>
                                    <w:sz w:val="20"/>
                                    <w:szCs w:val="20"/>
                                  </w:rPr>
                                  <m:t>(</m:t>
                                </m:r>
                                <m:r>
                                  <w:rPr>
                                    <w:rFonts w:ascii="Cambria Math" w:hAnsi="Cambria Math" w:cs="Arial"/>
                                    <w:sz w:val="20"/>
                                    <w:szCs w:val="20"/>
                                  </w:rPr>
                                  <m:t>A</m:t>
                                </m:r>
                              </m:e>
                              <m:sub>
                                <m:r>
                                  <w:rPr>
                                    <w:rFonts w:ascii="Cambria Math" w:hAnsi="Cambria Math" w:cs="Arial"/>
                                    <w:sz w:val="20"/>
                                    <w:szCs w:val="20"/>
                                  </w:rPr>
                                  <m:t>i</m:t>
                                </m:r>
                              </m:sub>
                            </m:sSub>
                            <m:r>
                              <w:rPr>
                                <w:rFonts w:ascii="Cambria Math" w:hAnsi="Cambria Math" w:cs="Arial"/>
                                <w:sz w:val="20"/>
                                <w:szCs w:val="20"/>
                              </w:rPr>
                              <m:t>=</m:t>
                            </m:r>
                            <m:r>
                              <w:rPr>
                                <w:rFonts w:ascii="Cambria Math" w:hAnsi="Cambria Math" w:cs="Arial"/>
                                <w:sz w:val="20"/>
                                <w:szCs w:val="20"/>
                              </w:rPr>
                              <m:t>a</m:t>
                            </m:r>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ti</m:t>
                                </m:r>
                              </m:sub>
                            </m:sSub>
                          </m:num>
                          <m:den>
                            <m:acc>
                              <m:accPr>
                                <m:ctrlPr>
                                  <w:rPr>
                                    <w:rFonts w:ascii="Cambria Math" w:hAnsi="Cambria Math" w:cs="Arial"/>
                                    <w:i/>
                                    <w:sz w:val="20"/>
                                    <w:szCs w:val="20"/>
                                  </w:rPr>
                                </m:ctrlPr>
                              </m:accPr>
                              <m:e>
                                <m:r>
                                  <w:rPr>
                                    <w:rFonts w:ascii="Cambria Math" w:hAnsi="Cambria Math" w:cs="Arial"/>
                                    <w:sz w:val="20"/>
                                    <w:szCs w:val="20"/>
                                  </w:rPr>
                                  <m:t>P</m:t>
                                </m:r>
                              </m:e>
                            </m:acc>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i</m:t>
                                </m:r>
                              </m:sub>
                            </m:sSub>
                            <m:r>
                              <w:rPr>
                                <w:rFonts w:ascii="Cambria Math" w:hAnsi="Cambria Math" w:cs="Arial"/>
                                <w:sz w:val="20"/>
                                <w:szCs w:val="20"/>
                              </w:rPr>
                              <m:t>=</m:t>
                            </m:r>
                            <m:r>
                              <w:rPr>
                                <w:rFonts w:ascii="Cambria Math" w:hAnsi="Cambria Math" w:cs="Arial"/>
                                <w:sz w:val="20"/>
                                <w:szCs w:val="20"/>
                              </w:rPr>
                              <m:t>a</m:t>
                            </m:r>
                            <m:r>
                              <w:rPr>
                                <w:rFonts w:ascii="Cambria Math" w:hAnsi="Cambria Math" w:cs="Arial"/>
                                <w:sz w:val="20"/>
                                <w:szCs w:val="20"/>
                              </w:rPr>
                              <m:t>|</m:t>
                            </m:r>
                            <m:sSub>
                              <m:sSubPr>
                                <m:ctrlPr>
                                  <w:rPr>
                                    <w:rFonts w:ascii="Cambria Math" w:hAnsi="Cambria Math" w:cs="Arial"/>
                                    <w:b/>
                                    <w:bCs/>
                                    <w:i/>
                                    <w:sz w:val="20"/>
                                    <w:szCs w:val="20"/>
                                  </w:rPr>
                                </m:ctrlPr>
                              </m:sSubPr>
                              <m:e>
                                <m:r>
                                  <m:rPr>
                                    <m:sty m:val="bi"/>
                                  </m:rPr>
                                  <w:rPr>
                                    <w:rFonts w:ascii="Cambria Math" w:hAnsi="Cambria Math" w:cs="Arial"/>
                                    <w:sz w:val="20"/>
                                    <w:szCs w:val="20"/>
                                  </w:rPr>
                                  <m:t>C</m:t>
                                </m:r>
                              </m:e>
                              <m:sub>
                                <m:r>
                                  <m:rPr>
                                    <m:sty m:val="bi"/>
                                  </m:rPr>
                                  <w:rPr>
                                    <w:rFonts w:ascii="Cambria Math" w:hAnsi="Cambria Math" w:cs="Arial"/>
                                    <w:sz w:val="20"/>
                                    <w:szCs w:val="20"/>
                                  </w:rPr>
                                  <m:t>i</m:t>
                                </m:r>
                              </m:sub>
                            </m:sSub>
                            <m:r>
                              <w:rPr>
                                <w:rFonts w:ascii="Cambria Math" w:hAnsi="Cambria Math" w:cs="Arial"/>
                                <w:sz w:val="20"/>
                                <w:szCs w:val="20"/>
                              </w:rPr>
                              <m:t>)</m:t>
                            </m:r>
                          </m:den>
                        </m:f>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I</m:t>
                                </m:r>
                                <m:r>
                                  <w:rPr>
                                    <w:rFonts w:ascii="Cambria Math" w:hAnsi="Cambria Math" w:cs="Arial"/>
                                    <w:sz w:val="20"/>
                                    <w:szCs w:val="20"/>
                                  </w:rPr>
                                  <m:t>(</m:t>
                                </m:r>
                                <m:r>
                                  <w:rPr>
                                    <w:rFonts w:ascii="Cambria Math" w:hAnsi="Cambria Math" w:cs="Arial"/>
                                    <w:sz w:val="20"/>
                                    <w:szCs w:val="20"/>
                                  </w:rPr>
                                  <m:t>A</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i</m:t>
                                </m:r>
                              </m:sub>
                            </m:sSub>
                            <m:r>
                              <w:rPr>
                                <w:rFonts w:ascii="Cambria Math" w:hAnsi="Cambria Math" w:cs="Arial"/>
                                <w:sz w:val="20"/>
                                <w:szCs w:val="20"/>
                              </w:rPr>
                              <m:t>)-</m:t>
                            </m:r>
                            <m:acc>
                              <m:accPr>
                                <m:ctrlPr>
                                  <w:rPr>
                                    <w:rFonts w:ascii="Cambria Math" w:hAnsi="Cambria Math" w:cs="Arial"/>
                                    <w:i/>
                                    <w:sz w:val="20"/>
                                    <w:szCs w:val="20"/>
                                  </w:rPr>
                                </m:ctrlPr>
                              </m:accPr>
                              <m:e>
                                <m:r>
                                  <w:rPr>
                                    <w:rFonts w:ascii="Cambria Math" w:hAnsi="Cambria Math" w:cs="Arial"/>
                                    <w:sz w:val="20"/>
                                    <w:szCs w:val="20"/>
                                  </w:rPr>
                                  <m:t>P</m:t>
                                </m:r>
                              </m:e>
                            </m:acc>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i</m:t>
                                </m:r>
                              </m:sub>
                            </m:sSub>
                            <m:r>
                              <w:rPr>
                                <w:rFonts w:ascii="Cambria Math" w:hAnsi="Cambria Math" w:cs="Arial"/>
                                <w:sz w:val="20"/>
                                <w:szCs w:val="20"/>
                              </w:rPr>
                              <m:t>=</m:t>
                            </m:r>
                            <m:r>
                              <w:rPr>
                                <w:rFonts w:ascii="Cambria Math" w:hAnsi="Cambria Math" w:cs="Arial"/>
                                <w:sz w:val="20"/>
                                <w:szCs w:val="20"/>
                              </w:rPr>
                              <m:t>a</m:t>
                            </m:r>
                            <m:r>
                              <w:rPr>
                                <w:rFonts w:ascii="Cambria Math" w:hAnsi="Cambria Math" w:cs="Arial"/>
                                <w:sz w:val="20"/>
                                <w:szCs w:val="20"/>
                              </w:rPr>
                              <m:t>|</m:t>
                            </m:r>
                            <m:sSub>
                              <m:sSubPr>
                                <m:ctrlPr>
                                  <w:rPr>
                                    <w:rFonts w:ascii="Cambria Math" w:hAnsi="Cambria Math" w:cs="Arial"/>
                                    <w:b/>
                                    <w:bCs/>
                                    <w:i/>
                                    <w:sz w:val="20"/>
                                    <w:szCs w:val="20"/>
                                  </w:rPr>
                                </m:ctrlPr>
                              </m:sSubPr>
                              <m:e>
                                <m:r>
                                  <m:rPr>
                                    <m:sty m:val="bi"/>
                                  </m:rPr>
                                  <w:rPr>
                                    <w:rFonts w:ascii="Cambria Math" w:hAnsi="Cambria Math" w:cs="Arial"/>
                                    <w:sz w:val="20"/>
                                    <w:szCs w:val="20"/>
                                  </w:rPr>
                                  <m:t>C</m:t>
                                </m:r>
                              </m:e>
                              <m:sub>
                                <m:r>
                                  <m:rPr>
                                    <m:sty m:val="bi"/>
                                  </m:rPr>
                                  <w:rPr>
                                    <w:rFonts w:ascii="Cambria Math" w:hAnsi="Cambria Math" w:cs="Arial"/>
                                    <w:sz w:val="20"/>
                                    <w:szCs w:val="20"/>
                                  </w:rPr>
                                  <m:t>i</m:t>
                                </m:r>
                              </m:sub>
                            </m:sSub>
                            <m:r>
                              <w:rPr>
                                <w:rFonts w:ascii="Cambria Math" w:hAnsi="Cambria Math" w:cs="Arial"/>
                                <w:sz w:val="20"/>
                                <w:szCs w:val="20"/>
                              </w:rPr>
                              <m:t>)</m:t>
                            </m:r>
                          </m:num>
                          <m:den>
                            <m:acc>
                              <m:accPr>
                                <m:ctrlPr>
                                  <w:rPr>
                                    <w:rFonts w:ascii="Cambria Math" w:hAnsi="Cambria Math" w:cs="Arial"/>
                                    <w:i/>
                                    <w:sz w:val="20"/>
                                    <w:szCs w:val="20"/>
                                  </w:rPr>
                                </m:ctrlPr>
                              </m:accPr>
                              <m:e>
                                <m:r>
                                  <w:rPr>
                                    <w:rFonts w:ascii="Cambria Math" w:hAnsi="Cambria Math" w:cs="Arial"/>
                                    <w:sz w:val="20"/>
                                    <w:szCs w:val="20"/>
                                  </w:rPr>
                                  <m:t>P</m:t>
                                </m:r>
                              </m:e>
                            </m:acc>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i</m:t>
                                </m:r>
                              </m:sub>
                            </m:sSub>
                            <m:r>
                              <w:rPr>
                                <w:rFonts w:ascii="Cambria Math" w:hAnsi="Cambria Math" w:cs="Arial"/>
                                <w:sz w:val="20"/>
                                <w:szCs w:val="20"/>
                              </w:rPr>
                              <m:t>=</m:t>
                            </m:r>
                            <m:r>
                              <w:rPr>
                                <w:rFonts w:ascii="Cambria Math" w:hAnsi="Cambria Math" w:cs="Arial"/>
                                <w:sz w:val="20"/>
                                <w:szCs w:val="20"/>
                              </w:rPr>
                              <m:t>a</m:t>
                            </m:r>
                            <m:r>
                              <w:rPr>
                                <w:rFonts w:ascii="Cambria Math" w:hAnsi="Cambria Math" w:cs="Arial"/>
                                <w:sz w:val="20"/>
                                <w:szCs w:val="20"/>
                              </w:rPr>
                              <m:t>|</m:t>
                            </m:r>
                            <m:sSub>
                              <m:sSubPr>
                                <m:ctrlPr>
                                  <w:rPr>
                                    <w:rFonts w:ascii="Cambria Math" w:hAnsi="Cambria Math" w:cs="Arial"/>
                                    <w:b/>
                                    <w:bCs/>
                                    <w:i/>
                                    <w:sz w:val="20"/>
                                    <w:szCs w:val="20"/>
                                  </w:rPr>
                                </m:ctrlPr>
                              </m:sSubPr>
                              <m:e>
                                <m:r>
                                  <m:rPr>
                                    <m:sty m:val="bi"/>
                                  </m:rPr>
                                  <w:rPr>
                                    <w:rFonts w:ascii="Cambria Math" w:hAnsi="Cambria Math" w:cs="Arial"/>
                                    <w:sz w:val="20"/>
                                    <w:szCs w:val="20"/>
                                  </w:rPr>
                                  <m:t>C</m:t>
                                </m:r>
                              </m:e>
                              <m:sub>
                                <m:r>
                                  <m:rPr>
                                    <m:sty m:val="bi"/>
                                  </m:rPr>
                                  <w:rPr>
                                    <w:rFonts w:ascii="Cambria Math" w:hAnsi="Cambria Math" w:cs="Arial"/>
                                    <w:sz w:val="20"/>
                                    <w:szCs w:val="20"/>
                                  </w:rPr>
                                  <m:t>i</m:t>
                                </m:r>
                              </m:sub>
                            </m:sSub>
                            <m:r>
                              <w:rPr>
                                <w:rFonts w:ascii="Cambria Math" w:hAnsi="Cambria Math" w:cs="Arial"/>
                                <w:sz w:val="20"/>
                                <w:szCs w:val="20"/>
                              </w:rPr>
                              <m:t>)</m:t>
                            </m:r>
                          </m:den>
                        </m:f>
                        <m:acc>
                          <m:accPr>
                            <m:ctrlPr>
                              <w:rPr>
                                <w:rFonts w:ascii="Cambria Math" w:hAnsi="Cambria Math" w:cs="Arial"/>
                                <w:i/>
                                <w:sz w:val="20"/>
                                <w:szCs w:val="20"/>
                              </w:rPr>
                            </m:ctrlPr>
                          </m:accPr>
                          <m:e>
                            <m:r>
                              <w:rPr>
                                <w:rFonts w:ascii="Cambria Math" w:hAnsi="Cambria Math" w:cs="Arial"/>
                                <w:sz w:val="20"/>
                                <w:szCs w:val="20"/>
                              </w:rPr>
                              <m:t>E</m:t>
                            </m:r>
                          </m:e>
                        </m:acc>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i</m:t>
                            </m:r>
                          </m:sub>
                        </m:sSub>
                        <m:r>
                          <w:rPr>
                            <w:rFonts w:ascii="Cambria Math" w:hAnsi="Cambria Math" w:cs="Arial"/>
                            <w:sz w:val="20"/>
                            <w:szCs w:val="20"/>
                          </w:rPr>
                          <m:t>=</m:t>
                        </m:r>
                        <m:r>
                          <w:rPr>
                            <w:rFonts w:ascii="Cambria Math" w:hAnsi="Cambria Math" w:cs="Arial"/>
                            <w:sz w:val="20"/>
                            <w:szCs w:val="20"/>
                          </w:rPr>
                          <m:t>a</m:t>
                        </m:r>
                        <m:r>
                          <w:rPr>
                            <w:rFonts w:ascii="Cambria Math" w:hAnsi="Cambria Math" w:cs="Arial"/>
                            <w:sz w:val="20"/>
                            <w:szCs w:val="20"/>
                          </w:rPr>
                          <m:t>,</m:t>
                        </m:r>
                        <m:sSub>
                          <m:sSubPr>
                            <m:ctrlPr>
                              <w:rPr>
                                <w:rFonts w:ascii="Cambria Math" w:hAnsi="Cambria Math" w:cs="Arial"/>
                                <w:b/>
                                <w:i/>
                                <w:sz w:val="20"/>
                                <w:szCs w:val="20"/>
                              </w:rPr>
                            </m:ctrlPr>
                          </m:sSubPr>
                          <m:e>
                            <m:r>
                              <m:rPr>
                                <m:sty m:val="bi"/>
                              </m:rPr>
                              <w:rPr>
                                <w:rFonts w:ascii="Cambria Math" w:hAnsi="Cambria Math" w:cs="Arial"/>
                                <w:sz w:val="20"/>
                                <w:szCs w:val="20"/>
                              </w:rPr>
                              <m:t>C</m:t>
                            </m:r>
                            <m:ctrlPr>
                              <w:rPr>
                                <w:rFonts w:ascii="Cambria Math" w:hAnsi="Cambria Math" w:cs="Arial"/>
                                <w:i/>
                                <w:sz w:val="20"/>
                                <w:szCs w:val="20"/>
                              </w:rPr>
                            </m:ctrlPr>
                          </m:e>
                          <m:sub>
                            <m:r>
                              <m:rPr>
                                <m:sty m:val="bi"/>
                              </m:rPr>
                              <w:rPr>
                                <w:rFonts w:ascii="Cambria Math" w:hAnsi="Cambria Math" w:cs="Arial"/>
                                <w:sz w:val="20"/>
                                <w:szCs w:val="20"/>
                              </w:rPr>
                              <m:t>i</m:t>
                            </m:r>
                          </m:sub>
                        </m:sSub>
                        <m:r>
                          <w:rPr>
                            <w:rFonts w:ascii="Cambria Math" w:hAnsi="Cambria Math" w:cs="Arial"/>
                            <w:sz w:val="20"/>
                            <w:szCs w:val="20"/>
                          </w:rPr>
                          <m:t>)</m:t>
                        </m:r>
                      </m:e>
                    </m:d>
                  </m:e>
                </m:nary>
              </m:oMath>
            </m:oMathPara>
          </w:p>
          <w:p w14:paraId="3B8E72E1" w14:textId="77777777" w:rsidR="00F21BBF" w:rsidRPr="00210432" w:rsidRDefault="00F21BBF" w:rsidP="009E2A51">
            <w:pPr>
              <w:rPr>
                <w:rFonts w:ascii="Arial" w:eastAsiaTheme="minorEastAsia" w:hAnsi="Arial" w:cs="Arial"/>
                <w:sz w:val="20"/>
                <w:szCs w:val="20"/>
              </w:rPr>
            </w:pPr>
          </w:p>
        </w:tc>
        <w:tc>
          <w:tcPr>
            <w:tcW w:w="374" w:type="dxa"/>
          </w:tcPr>
          <w:p w14:paraId="62DA010C" w14:textId="3BDEB5CF" w:rsidR="00F21BBF" w:rsidRPr="00210432" w:rsidRDefault="00F21BBF" w:rsidP="009E2A51">
            <w:pPr>
              <w:rPr>
                <w:rFonts w:ascii="Arial" w:eastAsiaTheme="minorEastAsia" w:hAnsi="Arial" w:cs="Arial"/>
                <w:sz w:val="20"/>
                <w:szCs w:val="20"/>
              </w:rPr>
            </w:pPr>
            <w:r w:rsidRPr="00210432">
              <w:rPr>
                <w:rFonts w:ascii="Arial" w:eastAsiaTheme="minorEastAsia" w:hAnsi="Arial" w:cs="Arial"/>
                <w:sz w:val="20"/>
                <w:szCs w:val="20"/>
              </w:rPr>
              <w:t>(</w:t>
            </w:r>
            <w:r>
              <w:rPr>
                <w:rFonts w:ascii="Arial" w:eastAsiaTheme="minorEastAsia" w:hAnsi="Arial" w:cs="Arial"/>
                <w:sz w:val="20"/>
                <w:szCs w:val="20"/>
              </w:rPr>
              <w:t>5</w:t>
            </w:r>
            <w:r w:rsidRPr="00210432">
              <w:rPr>
                <w:rFonts w:ascii="Arial" w:eastAsiaTheme="minorEastAsia" w:hAnsi="Arial" w:cs="Arial"/>
                <w:sz w:val="20"/>
                <w:szCs w:val="20"/>
              </w:rPr>
              <w:t>)</w:t>
            </w:r>
          </w:p>
        </w:tc>
      </w:tr>
    </w:tbl>
    <w:p w14:paraId="35EA2FF5" w14:textId="745F58B7" w:rsidR="009E0411" w:rsidRPr="00F21BBF" w:rsidRDefault="00972F52" w:rsidP="009E0411">
      <w:pPr>
        <w:rPr>
          <w:rFonts w:ascii="Arial" w:hAnsi="Arial" w:cs="Arial"/>
          <w:sz w:val="20"/>
          <w:szCs w:val="20"/>
        </w:rPr>
      </w:pPr>
      <w:r>
        <w:rPr>
          <w:rFonts w:ascii="Arial" w:hAnsi="Arial" w:cs="Arial"/>
          <w:sz w:val="20"/>
          <w:szCs w:val="20"/>
        </w:rPr>
        <w:t>The</w:t>
      </w:r>
      <w:r w:rsidR="008C0C99">
        <w:rPr>
          <w:rFonts w:ascii="Arial" w:hAnsi="Arial" w:cs="Arial"/>
          <w:sz w:val="20"/>
          <w:szCs w:val="20"/>
        </w:rPr>
        <w:t xml:space="preserve"> probability of treatment</w:t>
      </w:r>
      <w:r w:rsidR="00F21BBF">
        <w:rPr>
          <w:rFonts w:ascii="Arial" w:hAnsi="Arial" w:cs="Arial"/>
          <w:sz w:val="20"/>
          <w:szCs w:val="20"/>
        </w:rPr>
        <w:t xml:space="preserve">, </w:t>
      </w:r>
      <m:oMath>
        <m:r>
          <w:rPr>
            <w:rFonts w:ascii="Cambria Math" w:hAnsi="Cambria Math" w:cs="Arial"/>
            <w:sz w:val="20"/>
            <w:szCs w:val="20"/>
          </w:rPr>
          <m:t>P(</m:t>
        </m:r>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i</m:t>
            </m:r>
          </m:sub>
        </m:sSub>
        <m:r>
          <w:rPr>
            <w:rFonts w:ascii="Cambria Math" w:hAnsi="Cambria Math" w:cs="Arial"/>
            <w:sz w:val="20"/>
            <w:szCs w:val="20"/>
          </w:rPr>
          <m:t>=a|</m:t>
        </m:r>
        <m:sSub>
          <m:sSubPr>
            <m:ctrlPr>
              <w:rPr>
                <w:rFonts w:ascii="Cambria Math" w:hAnsi="Cambria Math" w:cs="Arial"/>
                <w:b/>
                <w:bCs/>
                <w:i/>
                <w:sz w:val="20"/>
                <w:szCs w:val="20"/>
              </w:rPr>
            </m:ctrlPr>
          </m:sSubPr>
          <m:e>
            <m:r>
              <m:rPr>
                <m:sty m:val="bi"/>
              </m:rPr>
              <w:rPr>
                <w:rFonts w:ascii="Cambria Math" w:hAnsi="Cambria Math" w:cs="Arial"/>
                <w:sz w:val="20"/>
                <w:szCs w:val="20"/>
              </w:rPr>
              <m:t>C</m:t>
            </m:r>
          </m:e>
          <m:sub>
            <m:r>
              <m:rPr>
                <m:sty m:val="bi"/>
              </m:rPr>
              <w:rPr>
                <w:rFonts w:ascii="Cambria Math" w:hAnsi="Cambria Math" w:cs="Arial"/>
                <w:sz w:val="20"/>
                <w:szCs w:val="20"/>
              </w:rPr>
              <m:t>i</m:t>
            </m:r>
          </m:sub>
        </m:sSub>
        <m:r>
          <w:rPr>
            <w:rFonts w:ascii="Cambria Math" w:hAnsi="Cambria Math" w:cs="Arial"/>
            <w:sz w:val="20"/>
            <w:szCs w:val="20"/>
          </w:rPr>
          <m:t>)</m:t>
        </m:r>
      </m:oMath>
      <w:r w:rsidR="008C0C99">
        <w:rPr>
          <w:rFonts w:ascii="Arial" w:hAnsi="Arial" w:cs="Arial"/>
          <w:sz w:val="20"/>
          <w:szCs w:val="20"/>
        </w:rPr>
        <w:t xml:space="preserve"> will be estimating using logistic regression with treatment indicator as the outcome and including</w:t>
      </w:r>
      <w:r w:rsidR="008C0C99" w:rsidRPr="008C0C99">
        <w:rPr>
          <w:rFonts w:ascii="Cambria Math" w:hAnsi="Cambria Math" w:cs="Arial"/>
          <w:b/>
          <w:i/>
          <w:sz w:val="20"/>
          <w:szCs w:val="20"/>
        </w:rPr>
        <w:t xml:space="preserve"> </w:t>
      </w:r>
      <m:oMath>
        <m:r>
          <m:rPr>
            <m:sty m:val="bi"/>
          </m:rPr>
          <w:rPr>
            <w:rFonts w:ascii="Cambria Math" w:hAnsi="Cambria Math" w:cs="Arial"/>
            <w:sz w:val="20"/>
            <w:szCs w:val="20"/>
          </w:rPr>
          <m:t xml:space="preserve">C </m:t>
        </m:r>
      </m:oMath>
      <w:r w:rsidR="008C0C99" w:rsidRPr="00210432">
        <w:rPr>
          <w:rFonts w:ascii="Arial" w:eastAsiaTheme="minorEastAsia" w:hAnsi="Arial" w:cs="Arial"/>
          <w:bCs/>
          <w:sz w:val="20"/>
          <w:szCs w:val="20"/>
        </w:rPr>
        <w:t xml:space="preserve">as linear </w:t>
      </w:r>
      <w:r w:rsidR="008C0C99">
        <w:rPr>
          <w:rFonts w:ascii="Arial" w:eastAsiaTheme="minorEastAsia" w:hAnsi="Arial" w:cs="Arial"/>
          <w:bCs/>
          <w:sz w:val="20"/>
          <w:szCs w:val="20"/>
        </w:rPr>
        <w:t xml:space="preserve">predictor </w:t>
      </w:r>
      <w:r w:rsidR="008C0C99" w:rsidRPr="00210432">
        <w:rPr>
          <w:rFonts w:ascii="Arial" w:eastAsiaTheme="minorEastAsia" w:hAnsi="Arial" w:cs="Arial"/>
          <w:bCs/>
          <w:sz w:val="20"/>
          <w:szCs w:val="20"/>
        </w:rPr>
        <w:t>terms.</w:t>
      </w:r>
      <w:r w:rsidR="00F21BBF">
        <w:rPr>
          <w:rFonts w:ascii="Arial" w:eastAsiaTheme="minorEastAsia" w:hAnsi="Arial" w:cs="Arial"/>
          <w:bCs/>
          <w:sz w:val="20"/>
          <w:szCs w:val="20"/>
        </w:rPr>
        <w:t xml:space="preserve"> </w:t>
      </w:r>
      <w:r w:rsidR="007048E6">
        <w:rPr>
          <w:rFonts w:ascii="Arial" w:hAnsi="Arial" w:cs="Arial"/>
          <w:sz w:val="20"/>
          <w:szCs w:val="20"/>
        </w:rPr>
        <w:t>The conditional expectations</w:t>
      </w:r>
      <w:r w:rsidR="00F21BBF">
        <w:rPr>
          <w:rFonts w:ascii="Arial" w:hAnsi="Arial" w:cs="Arial"/>
          <w:sz w:val="20"/>
          <w:szCs w:val="20"/>
        </w:rPr>
        <w:t xml:space="preserve"> </w:t>
      </w:r>
      <m:oMath>
        <m:r>
          <w:rPr>
            <w:rFonts w:ascii="Cambria Math" w:hAnsi="Cambria Math" w:cs="Arial"/>
            <w:sz w:val="20"/>
            <w:szCs w:val="20"/>
          </w:rPr>
          <m:t>E</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ti</m:t>
                </m:r>
              </m:sub>
            </m:sSub>
          </m:e>
          <m:e>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i</m:t>
                </m:r>
              </m:sub>
            </m:sSub>
            <m:r>
              <w:rPr>
                <w:rFonts w:ascii="Cambria Math" w:hAnsi="Cambria Math" w:cs="Arial"/>
                <w:sz w:val="20"/>
                <w:szCs w:val="20"/>
              </w:rPr>
              <m:t>=a,</m:t>
            </m:r>
            <m:sSub>
              <m:sSubPr>
                <m:ctrlPr>
                  <w:rPr>
                    <w:rFonts w:ascii="Cambria Math" w:hAnsi="Cambria Math" w:cs="Arial"/>
                    <w:b/>
                    <w:i/>
                    <w:sz w:val="20"/>
                    <w:szCs w:val="20"/>
                  </w:rPr>
                </m:ctrlPr>
              </m:sSubPr>
              <m:e>
                <m:r>
                  <m:rPr>
                    <m:sty m:val="bi"/>
                  </m:rPr>
                  <w:rPr>
                    <w:rFonts w:ascii="Cambria Math" w:hAnsi="Cambria Math" w:cs="Arial"/>
                    <w:sz w:val="20"/>
                    <w:szCs w:val="20"/>
                  </w:rPr>
                  <m:t>C</m:t>
                </m:r>
                <m:ctrlPr>
                  <w:rPr>
                    <w:rFonts w:ascii="Cambria Math" w:hAnsi="Cambria Math" w:cs="Arial"/>
                    <w:i/>
                    <w:sz w:val="20"/>
                    <w:szCs w:val="20"/>
                  </w:rPr>
                </m:ctrlPr>
              </m:e>
              <m:sub>
                <m:r>
                  <m:rPr>
                    <m:sty m:val="bi"/>
                  </m:rPr>
                  <w:rPr>
                    <w:rFonts w:ascii="Cambria Math" w:hAnsi="Cambria Math" w:cs="Arial"/>
                    <w:sz w:val="20"/>
                    <w:szCs w:val="20"/>
                  </w:rPr>
                  <m:t>i</m:t>
                </m:r>
              </m:sub>
            </m:sSub>
          </m:e>
        </m:d>
      </m:oMath>
      <w:r w:rsidR="00F21BBF">
        <w:rPr>
          <w:rFonts w:ascii="Arial" w:eastAsiaTheme="minorEastAsia" w:hAnsi="Arial" w:cs="Arial"/>
          <w:sz w:val="20"/>
          <w:szCs w:val="20"/>
        </w:rPr>
        <w:t xml:space="preserve"> </w:t>
      </w:r>
      <w:r w:rsidR="007048E6">
        <w:rPr>
          <w:rFonts w:ascii="Arial" w:hAnsi="Arial" w:cs="Arial"/>
          <w:sz w:val="20"/>
          <w:szCs w:val="20"/>
        </w:rPr>
        <w:t>will be estimated</w:t>
      </w:r>
      <w:r w:rsidR="00BE07A8">
        <w:rPr>
          <w:rFonts w:ascii="Arial" w:hAnsi="Arial" w:cs="Arial"/>
          <w:sz w:val="20"/>
          <w:szCs w:val="20"/>
        </w:rPr>
        <w:t xml:space="preserve"> using multivariable linear regression</w:t>
      </w:r>
      <w:r w:rsidR="00BD6222">
        <w:rPr>
          <w:rFonts w:ascii="Arial" w:hAnsi="Arial" w:cs="Arial"/>
          <w:sz w:val="20"/>
          <w:szCs w:val="20"/>
        </w:rPr>
        <w:t xml:space="preserve"> models</w:t>
      </w:r>
      <w:r w:rsidR="009E0411" w:rsidRPr="00210432">
        <w:rPr>
          <w:rFonts w:ascii="Arial" w:hAnsi="Arial" w:cs="Arial"/>
          <w:sz w:val="20"/>
          <w:szCs w:val="20"/>
        </w:rPr>
        <w:t xml:space="preserve"> conditional on treatment</w:t>
      </w:r>
      <w:r w:rsidR="00D55428">
        <w:rPr>
          <w:rFonts w:ascii="Arial" w:hAnsi="Arial" w:cs="Arial"/>
          <w:sz w:val="20"/>
          <w:szCs w:val="20"/>
        </w:rPr>
        <w:t xml:space="preserve">, </w:t>
      </w:r>
      <w:r w:rsidR="009E0411" w:rsidRPr="00210432">
        <w:rPr>
          <w:rFonts w:ascii="Arial" w:hAnsi="Arial" w:cs="Arial"/>
          <w:sz w:val="20"/>
          <w:szCs w:val="20"/>
        </w:rPr>
        <w:t>covariate</w:t>
      </w:r>
      <w:r w:rsidR="00D55428">
        <w:rPr>
          <w:rFonts w:ascii="Arial" w:hAnsi="Arial" w:cs="Arial"/>
          <w:sz w:val="20"/>
          <w:szCs w:val="20"/>
        </w:rPr>
        <w:t xml:space="preserve">s, time and an interaction between treatment and time: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16"/>
      </w:tblGrid>
      <w:tr w:rsidR="00B7078A" w:rsidRPr="00210432" w14:paraId="30F8B9CE" w14:textId="77777777" w:rsidTr="00C40B76">
        <w:tc>
          <w:tcPr>
            <w:tcW w:w="8500" w:type="dxa"/>
          </w:tcPr>
          <w:p w14:paraId="743E95E7" w14:textId="36BE093E" w:rsidR="00BD6222" w:rsidRPr="00210432" w:rsidRDefault="00EE0D39" w:rsidP="00BD6222">
            <w:pPr>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A</m:t>
                    </m:r>
                  </m:sub>
                </m:sSub>
                <m:r>
                  <w:rPr>
                    <w:rFonts w:ascii="Cambria Math" w:hAnsi="Cambria Math" w:cs="Arial"/>
                    <w:sz w:val="20"/>
                    <w:szCs w:val="20"/>
                  </w:rPr>
                  <m:t>A</m:t>
                </m:r>
                <m:r>
                  <w:rPr>
                    <w:rFonts w:ascii="Cambria Math" w:hAnsi="Cambria Math" w:cs="Arial"/>
                    <w:sz w:val="20"/>
                    <w:szCs w:val="20"/>
                  </w:rPr>
                  <m:t>+</m:t>
                </m:r>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C</m:t>
                    </m:r>
                  </m:sub>
                </m:sSub>
                <m:r>
                  <m:rPr>
                    <m:sty m:val="bi"/>
                  </m:rPr>
                  <w:rPr>
                    <w:rFonts w:ascii="Cambria Math" w:hAnsi="Cambria Math" w:cs="Arial"/>
                    <w:sz w:val="20"/>
                    <w:szCs w:val="20"/>
                  </w:rPr>
                  <m:t>C</m:t>
                </m:r>
                <m:r>
                  <m:rPr>
                    <m:sty m:val="bi"/>
                  </m:rP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t</m:t>
                    </m:r>
                  </m:sub>
                </m:sSub>
                <m:r>
                  <w:rPr>
                    <w:rFonts w:ascii="Cambria Math" w:hAnsi="Cambria Math" w:cs="Arial"/>
                    <w:sz w:val="20"/>
                    <w:szCs w:val="20"/>
                  </w:rPr>
                  <m:t>t</m:t>
                </m:r>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At</m:t>
                    </m:r>
                  </m:sub>
                </m:sSub>
                <m:r>
                  <w:rPr>
                    <w:rFonts w:ascii="Cambria Math" w:hAnsi="Cambria Math" w:cs="Arial"/>
                    <w:sz w:val="20"/>
                    <w:szCs w:val="20"/>
                  </w:rPr>
                  <m:t>At</m:t>
                </m:r>
                <m:r>
                  <w:rPr>
                    <w:rFonts w:ascii="Cambria Math" w:hAnsi="Cambria Math" w:cs="Arial"/>
                    <w:sz w:val="20"/>
                    <w:szCs w:val="20"/>
                  </w:rPr>
                  <m:t>+</m:t>
                </m:r>
                <m:r>
                  <w:rPr>
                    <w:rFonts w:ascii="Cambria Math" w:hAnsi="Cambria Math" w:cs="Arial"/>
                    <w:sz w:val="20"/>
                    <w:szCs w:val="20"/>
                  </w:rPr>
                  <m:t>ε</m:t>
                </m:r>
              </m:oMath>
            </m:oMathPara>
          </w:p>
        </w:tc>
        <w:tc>
          <w:tcPr>
            <w:tcW w:w="516" w:type="dxa"/>
          </w:tcPr>
          <w:p w14:paraId="2009BF33" w14:textId="2BADC79F" w:rsidR="00B7078A" w:rsidRPr="00210432" w:rsidRDefault="00B7078A" w:rsidP="00B7078A">
            <w:pPr>
              <w:rPr>
                <w:rFonts w:ascii="Arial" w:hAnsi="Arial" w:cs="Arial"/>
                <w:sz w:val="20"/>
                <w:szCs w:val="20"/>
              </w:rPr>
            </w:pPr>
            <w:r w:rsidRPr="00210432">
              <w:rPr>
                <w:rFonts w:ascii="Arial" w:hAnsi="Arial" w:cs="Arial"/>
                <w:sz w:val="20"/>
                <w:szCs w:val="20"/>
              </w:rPr>
              <w:t>(</w:t>
            </w:r>
            <w:r w:rsidR="00F21BBF">
              <w:rPr>
                <w:rFonts w:ascii="Arial" w:hAnsi="Arial" w:cs="Arial"/>
                <w:sz w:val="20"/>
                <w:szCs w:val="20"/>
              </w:rPr>
              <w:t>6</w:t>
            </w:r>
            <w:r w:rsidRPr="00210432">
              <w:rPr>
                <w:rFonts w:ascii="Arial" w:hAnsi="Arial" w:cs="Arial"/>
                <w:sz w:val="20"/>
                <w:szCs w:val="20"/>
              </w:rPr>
              <w:t>)</w:t>
            </w:r>
          </w:p>
        </w:tc>
      </w:tr>
    </w:tbl>
    <w:p w14:paraId="642839F1" w14:textId="77777777" w:rsidR="00F21BBF" w:rsidRDefault="00F21BBF" w:rsidP="009E0411">
      <w:pPr>
        <w:rPr>
          <w:rFonts w:ascii="Arial" w:hAnsi="Arial" w:cs="Arial"/>
          <w:sz w:val="20"/>
          <w:szCs w:val="20"/>
        </w:rPr>
      </w:pPr>
    </w:p>
    <w:p w14:paraId="34CBDB4A" w14:textId="72C8F914" w:rsidR="009E0411" w:rsidRPr="00F21BBF" w:rsidRDefault="00BD6222" w:rsidP="00F21BBF">
      <w:pPr>
        <w:rPr>
          <w:rFonts w:ascii="Arial" w:hAnsi="Arial" w:cs="Arial"/>
          <w:sz w:val="20"/>
          <w:szCs w:val="20"/>
        </w:rPr>
      </w:pPr>
      <w:r>
        <w:rPr>
          <w:rFonts w:ascii="Arial" w:hAnsi="Arial" w:cs="Arial"/>
          <w:sz w:val="20"/>
          <w:szCs w:val="20"/>
        </w:rPr>
        <w:t xml:space="preserve">Including time in the model allows </w:t>
      </w:r>
      <w:r w:rsidR="00992CA2">
        <w:rPr>
          <w:rFonts w:ascii="Arial" w:hAnsi="Arial" w:cs="Arial"/>
          <w:sz w:val="20"/>
          <w:szCs w:val="20"/>
        </w:rPr>
        <w:t xml:space="preserve">different individuals to have different follow-up times relative to time 0. </w:t>
      </w:r>
      <w:r w:rsidR="00F21BBF">
        <w:rPr>
          <w:rFonts w:ascii="Arial" w:hAnsi="Arial" w:cs="Arial"/>
          <w:sz w:val="20"/>
          <w:szCs w:val="20"/>
        </w:rPr>
        <w:t xml:space="preserve">Estimates of </w:t>
      </w:r>
      <m:oMath>
        <m:r>
          <w:rPr>
            <w:rFonts w:ascii="Cambria Math" w:hAnsi="Cambria Math" w:cs="Arial"/>
            <w:sz w:val="20"/>
            <w:szCs w:val="20"/>
          </w:rPr>
          <m:t>E</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24,i</m:t>
                </m:r>
              </m:sub>
            </m:sSub>
          </m:e>
          <m:e>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i</m:t>
                </m:r>
              </m:sub>
            </m:sSub>
            <m:r>
              <w:rPr>
                <w:rFonts w:ascii="Cambria Math" w:hAnsi="Cambria Math" w:cs="Arial"/>
                <w:sz w:val="20"/>
                <w:szCs w:val="20"/>
              </w:rPr>
              <m:t>=a,</m:t>
            </m:r>
            <m:sSub>
              <m:sSubPr>
                <m:ctrlPr>
                  <w:rPr>
                    <w:rFonts w:ascii="Cambria Math" w:hAnsi="Cambria Math" w:cs="Arial"/>
                    <w:b/>
                    <w:i/>
                    <w:sz w:val="20"/>
                    <w:szCs w:val="20"/>
                  </w:rPr>
                </m:ctrlPr>
              </m:sSubPr>
              <m:e>
                <m:r>
                  <m:rPr>
                    <m:sty m:val="bi"/>
                  </m:rPr>
                  <w:rPr>
                    <w:rFonts w:ascii="Cambria Math" w:hAnsi="Cambria Math" w:cs="Arial"/>
                    <w:sz w:val="20"/>
                    <w:szCs w:val="20"/>
                  </w:rPr>
                  <m:t>C</m:t>
                </m:r>
                <m:ctrlPr>
                  <w:rPr>
                    <w:rFonts w:ascii="Cambria Math" w:hAnsi="Cambria Math" w:cs="Arial"/>
                    <w:i/>
                    <w:sz w:val="20"/>
                    <w:szCs w:val="20"/>
                  </w:rPr>
                </m:ctrlPr>
              </m:e>
              <m:sub>
                <m:r>
                  <m:rPr>
                    <m:sty m:val="bi"/>
                  </m:rPr>
                  <w:rPr>
                    <w:rFonts w:ascii="Cambria Math" w:hAnsi="Cambria Math" w:cs="Arial"/>
                    <w:sz w:val="20"/>
                    <w:szCs w:val="20"/>
                  </w:rPr>
                  <m:t>i</m:t>
                </m:r>
              </m:sub>
            </m:sSub>
          </m:e>
        </m:d>
      </m:oMath>
      <w:r w:rsidR="00F21BBF">
        <w:rPr>
          <w:rFonts w:ascii="Arial" w:eastAsiaTheme="minorEastAsia" w:hAnsi="Arial" w:cs="Arial"/>
          <w:sz w:val="20"/>
          <w:szCs w:val="20"/>
        </w:rPr>
        <w:t xml:space="preserve"> will be obtained using predictions from model (6) by plugging in </w:t>
      </w:r>
      <m:oMath>
        <m:r>
          <w:rPr>
            <w:rFonts w:ascii="Cambria Math" w:eastAsiaTheme="minorEastAsia" w:hAnsi="Cambria Math" w:cs="Arial"/>
            <w:sz w:val="20"/>
            <w:szCs w:val="20"/>
          </w:rPr>
          <m:t>t=24.</m:t>
        </m:r>
      </m:oMath>
      <w:r w:rsidR="00F21BBF" w:rsidRPr="00210432">
        <w:rPr>
          <w:rFonts w:ascii="Arial" w:hAnsi="Arial" w:cs="Arial"/>
          <w:sz w:val="20"/>
          <w:szCs w:val="20"/>
        </w:rPr>
        <w:t xml:space="preserve"> </w:t>
      </w:r>
      <w:r w:rsidR="00F21BBF">
        <w:rPr>
          <w:rFonts w:ascii="Arial" w:hAnsi="Arial" w:cs="Arial"/>
          <w:sz w:val="20"/>
          <w:szCs w:val="20"/>
        </w:rPr>
        <w:t>T</w:t>
      </w:r>
      <w:r w:rsidR="009E0411" w:rsidRPr="00210432">
        <w:rPr>
          <w:rFonts w:ascii="Arial" w:hAnsi="Arial" w:cs="Arial"/>
          <w:sz w:val="20"/>
          <w:szCs w:val="20"/>
        </w:rPr>
        <w:t xml:space="preserve">he estimator in equation </w:t>
      </w:r>
      <w:r w:rsidR="00F21BBF">
        <w:rPr>
          <w:rFonts w:ascii="Arial" w:hAnsi="Arial" w:cs="Arial"/>
          <w:sz w:val="20"/>
          <w:szCs w:val="20"/>
        </w:rPr>
        <w:t>5</w:t>
      </w:r>
      <w:r w:rsidR="009E0411" w:rsidRPr="00210432">
        <w:rPr>
          <w:rFonts w:ascii="Arial" w:hAnsi="Arial" w:cs="Arial"/>
          <w:sz w:val="20"/>
          <w:szCs w:val="20"/>
        </w:rPr>
        <w:t xml:space="preserve"> can be used to estimate </w:t>
      </w:r>
      <m:oMath>
        <m:r>
          <w:rPr>
            <w:rFonts w:ascii="Cambria Math" w:hAnsi="Cambria Math" w:cs="Arial"/>
            <w:sz w:val="20"/>
            <w:szCs w:val="20"/>
          </w:rPr>
          <m:t>E</m:t>
        </m:r>
        <m:d>
          <m:dPr>
            <m:begChr m:val="["/>
            <m:endChr m:val="]"/>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24</m:t>
                </m:r>
              </m:sub>
            </m:sSub>
            <m:d>
              <m:dPr>
                <m:ctrlPr>
                  <w:rPr>
                    <w:rFonts w:ascii="Cambria Math" w:hAnsi="Cambria Math" w:cs="Arial"/>
                    <w:i/>
                    <w:sz w:val="20"/>
                    <w:szCs w:val="20"/>
                  </w:rPr>
                </m:ctrlPr>
              </m:dPr>
              <m:e>
                <m:r>
                  <w:rPr>
                    <w:rFonts w:ascii="Cambria Math" w:hAnsi="Cambria Math" w:cs="Arial"/>
                    <w:sz w:val="20"/>
                    <w:szCs w:val="20"/>
                  </w:rPr>
                  <m:t>0</m:t>
                </m:r>
              </m:e>
            </m:d>
          </m:e>
        </m:d>
        <m:r>
          <w:rPr>
            <w:rFonts w:ascii="Cambria Math" w:hAnsi="Cambria Math" w:cs="Arial"/>
            <w:sz w:val="20"/>
            <w:szCs w:val="20"/>
          </w:rPr>
          <m:t xml:space="preserve"> </m:t>
        </m:r>
      </m:oMath>
      <w:r w:rsidR="009E0411" w:rsidRPr="00210432">
        <w:rPr>
          <w:rFonts w:ascii="Arial" w:eastAsiaTheme="minorEastAsia" w:hAnsi="Arial" w:cs="Arial"/>
          <w:sz w:val="20"/>
          <w:szCs w:val="20"/>
        </w:rPr>
        <w:t xml:space="preserve">and </w:t>
      </w:r>
      <m:oMath>
        <m:r>
          <w:rPr>
            <w:rFonts w:ascii="Cambria Math" w:hAnsi="Cambria Math" w:cs="Arial"/>
            <w:sz w:val="20"/>
            <w:szCs w:val="20"/>
          </w:rPr>
          <m:t>E[</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24</m:t>
            </m:r>
          </m:sub>
        </m:sSub>
        <m:r>
          <w:rPr>
            <w:rFonts w:ascii="Cambria Math" w:hAnsi="Cambria Math" w:cs="Arial"/>
            <w:sz w:val="20"/>
            <w:szCs w:val="20"/>
          </w:rPr>
          <m:t>(1)],</m:t>
        </m:r>
      </m:oMath>
      <w:r w:rsidR="009E0411" w:rsidRPr="00210432">
        <w:rPr>
          <w:rFonts w:ascii="Arial" w:eastAsiaTheme="minorEastAsia" w:hAnsi="Arial" w:cs="Arial"/>
          <w:sz w:val="20"/>
          <w:szCs w:val="20"/>
        </w:rPr>
        <w:t xml:space="preserve"> and the difference between these two expectations is an estimate of the average treatment effect in the population. Standard errors can be obtained based on the efficient influence function</w:t>
      </w:r>
      <w:r w:rsidR="00735A03">
        <w:rPr>
          <w:rFonts w:ascii="Arial" w:eastAsiaTheme="minorEastAsia" w:hAnsi="Arial" w:cs="Arial"/>
          <w:sz w:val="20"/>
          <w:szCs w:val="20"/>
        </w:rPr>
        <w:t xml:space="preserve"> [26]</w:t>
      </w:r>
      <w:r w:rsidR="009E0411" w:rsidRPr="00210432">
        <w:rPr>
          <w:rFonts w:ascii="Arial" w:eastAsiaTheme="minorEastAsia" w:hAnsi="Arial" w:cs="Arial"/>
          <w:sz w:val="20"/>
          <w:szCs w:val="20"/>
        </w:rPr>
        <w:t xml:space="preserve">. </w:t>
      </w:r>
    </w:p>
    <w:p w14:paraId="59F17ACD" w14:textId="6B34F5BF" w:rsidR="009E0411" w:rsidRDefault="009E0411" w:rsidP="009E0411">
      <w:pPr>
        <w:rPr>
          <w:rFonts w:ascii="Arial" w:hAnsi="Arial" w:cs="Arial"/>
          <w:sz w:val="20"/>
          <w:szCs w:val="20"/>
        </w:rPr>
      </w:pPr>
      <w:r w:rsidRPr="00210432">
        <w:rPr>
          <w:rFonts w:ascii="Arial" w:hAnsi="Arial" w:cs="Arial"/>
          <w:sz w:val="20"/>
          <w:szCs w:val="20"/>
        </w:rPr>
        <w:t>The distribution of weights will be assessed using summary statistics and plots. Standardised mean differences will be used to compare the balance in the distribution of confounders between treatment and control groups in the original and weighted samples.</w:t>
      </w:r>
    </w:p>
    <w:p w14:paraId="6DF6EFA7" w14:textId="0EBFEF33" w:rsidR="00F93F13" w:rsidRPr="00F93F13" w:rsidRDefault="00121AF5" w:rsidP="00F93F13">
      <w:pPr>
        <w:pStyle w:val="Heading3"/>
      </w:pPr>
      <w:r>
        <w:t xml:space="preserve">4.6.4 </w:t>
      </w:r>
      <w:r w:rsidR="00F93F13" w:rsidRPr="00F93F13">
        <w:t xml:space="preserve">Secondary outcomes </w:t>
      </w:r>
    </w:p>
    <w:p w14:paraId="6DC97FE4" w14:textId="0F751593" w:rsidR="009E1709" w:rsidRDefault="00F93F13" w:rsidP="00F93F13">
      <w:pPr>
        <w:rPr>
          <w:rFonts w:ascii="Arial" w:hAnsi="Arial" w:cs="Arial"/>
          <w:sz w:val="20"/>
          <w:szCs w:val="20"/>
        </w:rPr>
      </w:pPr>
      <w:r>
        <w:rPr>
          <w:rFonts w:ascii="Arial" w:hAnsi="Arial" w:cs="Arial"/>
          <w:sz w:val="20"/>
          <w:szCs w:val="20"/>
        </w:rPr>
        <w:t xml:space="preserve">The secondary outcomes </w:t>
      </w:r>
      <w:r w:rsidR="00F4564C">
        <w:rPr>
          <w:rFonts w:ascii="Arial" w:hAnsi="Arial" w:cs="Arial"/>
          <w:sz w:val="20"/>
          <w:szCs w:val="20"/>
        </w:rPr>
        <w:t>include continuous variables (</w:t>
      </w:r>
      <w:r w:rsidR="00750493">
        <w:rPr>
          <w:rFonts w:ascii="Arial" w:hAnsi="Arial" w:cs="Arial"/>
          <w:sz w:val="20"/>
          <w:szCs w:val="20"/>
        </w:rPr>
        <w:t>FEV</w:t>
      </w:r>
      <w:r w:rsidR="00750493" w:rsidRPr="00750493">
        <w:rPr>
          <w:rFonts w:ascii="Arial" w:hAnsi="Arial" w:cs="Arial"/>
          <w:sz w:val="20"/>
          <w:szCs w:val="20"/>
          <w:vertAlign w:val="subscript"/>
        </w:rPr>
        <w:t>1</w:t>
      </w:r>
      <w:r w:rsidR="00750493">
        <w:rPr>
          <w:rFonts w:ascii="Arial" w:hAnsi="Arial" w:cs="Arial"/>
          <w:sz w:val="20"/>
          <w:szCs w:val="20"/>
        </w:rPr>
        <w:t xml:space="preserve">%, </w:t>
      </w:r>
      <w:r w:rsidR="00F4564C">
        <w:rPr>
          <w:rFonts w:ascii="Arial" w:hAnsi="Arial" w:cs="Arial"/>
          <w:sz w:val="20"/>
          <w:szCs w:val="20"/>
        </w:rPr>
        <w:t>FVC%, BMI z-score</w:t>
      </w:r>
      <w:r w:rsidR="00750493">
        <w:rPr>
          <w:rFonts w:ascii="Arial" w:hAnsi="Arial" w:cs="Arial"/>
          <w:sz w:val="20"/>
          <w:szCs w:val="20"/>
        </w:rPr>
        <w:t xml:space="preserve"> and </w:t>
      </w:r>
      <w:r w:rsidR="00F4564C">
        <w:rPr>
          <w:rFonts w:ascii="Arial" w:hAnsi="Arial" w:cs="Arial"/>
          <w:sz w:val="20"/>
          <w:szCs w:val="20"/>
        </w:rPr>
        <w:t>weight)</w:t>
      </w:r>
      <w:r w:rsidR="00750493">
        <w:rPr>
          <w:rFonts w:ascii="Arial" w:hAnsi="Arial" w:cs="Arial"/>
          <w:sz w:val="20"/>
          <w:szCs w:val="20"/>
        </w:rPr>
        <w:t>, binary outcomes (use of new antibiotics and changes in microbiology) and time-to-event outcomes (</w:t>
      </w:r>
      <w:r w:rsidR="000E56C4">
        <w:rPr>
          <w:rFonts w:ascii="Arial" w:hAnsi="Arial" w:cs="Arial"/>
          <w:sz w:val="20"/>
          <w:szCs w:val="20"/>
        </w:rPr>
        <w:t>time to first need of IV antibiotics and time to first hospitalisation</w:t>
      </w:r>
      <w:r w:rsidR="00750493">
        <w:rPr>
          <w:rFonts w:ascii="Arial" w:hAnsi="Arial" w:cs="Arial"/>
          <w:sz w:val="20"/>
          <w:szCs w:val="20"/>
        </w:rPr>
        <w:t>)</w:t>
      </w:r>
      <w:r w:rsidR="000E56C4">
        <w:rPr>
          <w:rFonts w:ascii="Arial" w:hAnsi="Arial" w:cs="Arial"/>
          <w:sz w:val="20"/>
          <w:szCs w:val="20"/>
        </w:rPr>
        <w:t xml:space="preserve">. Binary outcomes will be analysed </w:t>
      </w:r>
      <w:r w:rsidR="00CB37D6">
        <w:rPr>
          <w:rFonts w:ascii="Arial" w:hAnsi="Arial" w:cs="Arial"/>
          <w:sz w:val="20"/>
          <w:szCs w:val="20"/>
        </w:rPr>
        <w:t>using AIPTW but with logistic regression</w:t>
      </w:r>
      <w:r w:rsidR="003F7B1C">
        <w:rPr>
          <w:rFonts w:ascii="Arial" w:hAnsi="Arial" w:cs="Arial"/>
          <w:sz w:val="20"/>
          <w:szCs w:val="20"/>
        </w:rPr>
        <w:t xml:space="preserve"> (if the interest is in odds ratios) or Poisson regression (if the interest is in risk ratios)</w:t>
      </w:r>
      <w:r w:rsidR="00CB37D6">
        <w:rPr>
          <w:rFonts w:ascii="Arial" w:hAnsi="Arial" w:cs="Arial"/>
          <w:sz w:val="20"/>
          <w:szCs w:val="20"/>
        </w:rPr>
        <w:t xml:space="preserve"> for the outcome model</w:t>
      </w:r>
      <w:r w:rsidR="003F7B1C">
        <w:rPr>
          <w:rFonts w:ascii="Arial" w:hAnsi="Arial" w:cs="Arial"/>
          <w:sz w:val="20"/>
          <w:szCs w:val="20"/>
        </w:rPr>
        <w:t>.</w:t>
      </w:r>
      <w:r w:rsidR="009E1709">
        <w:rPr>
          <w:rFonts w:ascii="Arial" w:hAnsi="Arial" w:cs="Arial"/>
          <w:sz w:val="20"/>
          <w:szCs w:val="20"/>
        </w:rPr>
        <w:t xml:space="preserve"> </w:t>
      </w:r>
      <w:r w:rsidR="007164C4">
        <w:rPr>
          <w:rFonts w:ascii="Arial" w:hAnsi="Arial" w:cs="Arial"/>
          <w:sz w:val="20"/>
          <w:szCs w:val="20"/>
        </w:rPr>
        <w:t>In time-to-event analyses, c</w:t>
      </w:r>
      <w:r w:rsidR="009E1709">
        <w:rPr>
          <w:rFonts w:ascii="Arial" w:hAnsi="Arial" w:cs="Arial"/>
          <w:sz w:val="20"/>
          <w:szCs w:val="20"/>
        </w:rPr>
        <w:t>ombining multivariable Cox model</w:t>
      </w:r>
      <w:r w:rsidR="001C28BF">
        <w:rPr>
          <w:rFonts w:ascii="Arial" w:hAnsi="Arial" w:cs="Arial"/>
          <w:sz w:val="20"/>
          <w:szCs w:val="20"/>
        </w:rPr>
        <w:t>s and propensity score weighting does not form a doubly robust estimator</w:t>
      </w:r>
      <w:r w:rsidR="004D7042">
        <w:rPr>
          <w:rFonts w:ascii="Arial" w:hAnsi="Arial" w:cs="Arial"/>
          <w:sz w:val="20"/>
          <w:szCs w:val="20"/>
        </w:rPr>
        <w:t xml:space="preserve"> [27]</w:t>
      </w:r>
      <w:r w:rsidR="001C28BF">
        <w:rPr>
          <w:rFonts w:ascii="Arial" w:hAnsi="Arial" w:cs="Arial"/>
          <w:sz w:val="20"/>
          <w:szCs w:val="20"/>
        </w:rPr>
        <w:t>. Versions of AIPW for time-to-event outcomes have been proposed, but these target survival probabilities rather than a hazard ratio</w:t>
      </w:r>
      <w:r w:rsidR="004D7042">
        <w:rPr>
          <w:rFonts w:ascii="Arial" w:hAnsi="Arial" w:cs="Arial"/>
          <w:sz w:val="20"/>
          <w:szCs w:val="20"/>
        </w:rPr>
        <w:t xml:space="preserve"> [27]</w:t>
      </w:r>
      <w:r w:rsidR="001C28BF">
        <w:rPr>
          <w:rFonts w:ascii="Arial" w:hAnsi="Arial" w:cs="Arial"/>
          <w:sz w:val="20"/>
          <w:szCs w:val="20"/>
        </w:rPr>
        <w:t xml:space="preserve">. Our </w:t>
      </w:r>
      <w:r w:rsidR="00DC390A">
        <w:rPr>
          <w:rFonts w:ascii="Arial" w:hAnsi="Arial" w:cs="Arial"/>
          <w:sz w:val="20"/>
          <w:szCs w:val="20"/>
        </w:rPr>
        <w:t>estiman</w:t>
      </w:r>
      <w:r w:rsidR="00ED2554">
        <w:rPr>
          <w:rFonts w:ascii="Arial" w:hAnsi="Arial" w:cs="Arial"/>
          <w:sz w:val="20"/>
          <w:szCs w:val="20"/>
        </w:rPr>
        <w:t xml:space="preserve">d of interest is the cause-specific hazard ratio and these will be estimated using a weighted Cox </w:t>
      </w:r>
      <w:r w:rsidR="00EF0355">
        <w:rPr>
          <w:rFonts w:ascii="Arial" w:hAnsi="Arial" w:cs="Arial"/>
          <w:sz w:val="20"/>
          <w:szCs w:val="20"/>
        </w:rPr>
        <w:t>regression</w:t>
      </w:r>
      <w:r w:rsidR="00ED2554">
        <w:rPr>
          <w:rFonts w:ascii="Arial" w:hAnsi="Arial" w:cs="Arial"/>
          <w:sz w:val="20"/>
          <w:szCs w:val="20"/>
        </w:rPr>
        <w:t xml:space="preserve">. Censoring will occur at 72 weeks, or prior in the event of </w:t>
      </w:r>
      <w:r w:rsidR="00EF0355">
        <w:rPr>
          <w:rFonts w:ascii="Arial" w:hAnsi="Arial" w:cs="Arial"/>
          <w:sz w:val="20"/>
          <w:szCs w:val="20"/>
        </w:rPr>
        <w:t xml:space="preserve">a competing event (death or organ transplant). </w:t>
      </w:r>
      <w:r w:rsidR="00F45418">
        <w:rPr>
          <w:rFonts w:ascii="Arial" w:hAnsi="Arial" w:cs="Arial"/>
          <w:sz w:val="20"/>
          <w:szCs w:val="20"/>
        </w:rPr>
        <w:t xml:space="preserve"> </w:t>
      </w:r>
    </w:p>
    <w:p w14:paraId="6932F59D" w14:textId="0115CCE0" w:rsidR="00205D47" w:rsidRPr="00DE4A49" w:rsidRDefault="00205D47" w:rsidP="00205D47">
      <w:pPr>
        <w:pStyle w:val="Heading3"/>
      </w:pPr>
      <w:r>
        <w:lastRenderedPageBreak/>
        <w:t>4.6.5 Subgroup analyses</w:t>
      </w:r>
    </w:p>
    <w:p w14:paraId="3A6253BB" w14:textId="59E118C5" w:rsidR="00205D47" w:rsidRDefault="00443065" w:rsidP="00370CED">
      <w:pPr>
        <w:spacing w:before="240"/>
        <w:rPr>
          <w:rFonts w:ascii="Arial" w:hAnsi="Arial" w:cs="Arial"/>
          <w:sz w:val="20"/>
          <w:szCs w:val="20"/>
        </w:rPr>
      </w:pPr>
      <w:r>
        <w:rPr>
          <w:rFonts w:ascii="Arial" w:hAnsi="Arial" w:cs="Arial"/>
          <w:sz w:val="20"/>
          <w:szCs w:val="20"/>
        </w:rPr>
        <w:t>In each emulated trial, the main analysis will be conducted on the entire cohort of individuals who meet the eligibility criteria. However, in the post-modulator time</w:t>
      </w:r>
      <w:r w:rsidR="00370CED">
        <w:rPr>
          <w:rFonts w:ascii="Arial" w:hAnsi="Arial" w:cs="Arial"/>
          <w:sz w:val="20"/>
          <w:szCs w:val="20"/>
        </w:rPr>
        <w:t xml:space="preserve"> </w:t>
      </w:r>
      <w:r>
        <w:rPr>
          <w:rFonts w:ascii="Arial" w:hAnsi="Arial" w:cs="Arial"/>
          <w:sz w:val="20"/>
          <w:szCs w:val="20"/>
        </w:rPr>
        <w:t xml:space="preserve">period (2020-2023), </w:t>
      </w:r>
      <w:r w:rsidR="00370CED">
        <w:rPr>
          <w:rFonts w:ascii="Arial" w:hAnsi="Arial" w:cs="Arial"/>
          <w:sz w:val="20"/>
          <w:szCs w:val="20"/>
        </w:rPr>
        <w:t xml:space="preserve">it will be of interest to assess whether our findings differ between modulator users and non-users. We will repeat the analysis in subgroups of the cohort, defined by modulator use. </w:t>
      </w:r>
      <w:r w:rsidR="00A27B4A" w:rsidRPr="00A27B4A">
        <w:rPr>
          <w:rFonts w:ascii="Arial" w:hAnsi="Arial" w:cs="Arial"/>
          <w:sz w:val="20"/>
          <w:szCs w:val="20"/>
        </w:rPr>
        <w:t xml:space="preserve">We define three subgroups: (1) non-users, (2) ivacaftor-users and (3) elexacaftor/tezacaftor/ivacaftor -users. Dual-therapy users will be excluded from the subgroup analyses. </w:t>
      </w:r>
    </w:p>
    <w:p w14:paraId="2E460E3F" w14:textId="2B654F09" w:rsidR="009E0411" w:rsidRPr="00DE4A49" w:rsidRDefault="00121AF5" w:rsidP="007B4C65">
      <w:pPr>
        <w:pStyle w:val="Heading3"/>
      </w:pPr>
      <w:r>
        <w:t>4.6.</w:t>
      </w:r>
      <w:r w:rsidR="00205D47">
        <w:t>6</w:t>
      </w:r>
      <w:r>
        <w:t xml:space="preserve"> </w:t>
      </w:r>
      <w:r w:rsidR="009E0411" w:rsidRPr="00DE4A49">
        <w:t>Sensitivity analyses</w:t>
      </w:r>
    </w:p>
    <w:p w14:paraId="7B203FA6" w14:textId="3B222DD8" w:rsidR="00E121B0" w:rsidRDefault="00E121B0" w:rsidP="009E0411">
      <w:pPr>
        <w:rPr>
          <w:rFonts w:ascii="Arial" w:eastAsiaTheme="minorEastAsia" w:hAnsi="Arial" w:cs="Arial"/>
          <w:sz w:val="20"/>
          <w:szCs w:val="20"/>
        </w:rPr>
      </w:pPr>
      <w:r>
        <w:rPr>
          <w:rFonts w:ascii="Arial" w:eastAsiaTheme="minorEastAsia" w:hAnsi="Arial" w:cs="Arial"/>
          <w:sz w:val="20"/>
          <w:szCs w:val="20"/>
        </w:rPr>
        <w:t xml:space="preserve">A key assumption in our analysis is that there are no unmeasured confounders. Unfortunately, there may exist some factors that are associated with both treatment prescription and the outcome, which are not captured in the registry. Sensitivity to unmeasured confounders will be summarised using E-values. </w:t>
      </w:r>
    </w:p>
    <w:p w14:paraId="20CB1096" w14:textId="57ACC8BC" w:rsidR="009E0411" w:rsidRPr="00DE4A49" w:rsidRDefault="00121AF5" w:rsidP="007B4C65">
      <w:pPr>
        <w:pStyle w:val="Heading3"/>
      </w:pPr>
      <w:r>
        <w:t>4.6.</w:t>
      </w:r>
      <w:r w:rsidR="00205D47">
        <w:t>7</w:t>
      </w:r>
      <w:r>
        <w:t xml:space="preserve"> </w:t>
      </w:r>
      <w:r w:rsidR="009E0411" w:rsidRPr="00DE4A49">
        <w:t>Missing data</w:t>
      </w:r>
    </w:p>
    <w:p w14:paraId="2947FEDE" w14:textId="4DD0503B" w:rsidR="009E0411" w:rsidRPr="00210432" w:rsidRDefault="00E121B0" w:rsidP="009E0411">
      <w:pPr>
        <w:rPr>
          <w:rFonts w:ascii="Arial" w:hAnsi="Arial" w:cs="Arial"/>
          <w:sz w:val="20"/>
          <w:szCs w:val="20"/>
        </w:rPr>
      </w:pPr>
      <w:r>
        <w:rPr>
          <w:rFonts w:ascii="Arial" w:hAnsi="Arial" w:cs="Arial"/>
          <w:sz w:val="20"/>
          <w:szCs w:val="20"/>
        </w:rPr>
        <w:t xml:space="preserve">We will summarise the amount of missing data in each variable by treatment group. If there is missingness in variables that are usually static for long time periods, we will use a simple imputation approach. For missing visits where the value of the variable recorded at the prior visit and subsequent visit are equal, we will assume the missing value is also equal and impute accordingly. </w:t>
      </w:r>
      <w:r w:rsidR="009E0411" w:rsidRPr="00210432">
        <w:rPr>
          <w:rFonts w:ascii="Arial" w:hAnsi="Arial" w:cs="Arial"/>
          <w:sz w:val="20"/>
          <w:szCs w:val="20"/>
        </w:rPr>
        <w:t xml:space="preserve">This approach will be used for </w:t>
      </w:r>
      <w:r w:rsidR="003576A1">
        <w:rPr>
          <w:rFonts w:ascii="Arial" w:hAnsi="Arial" w:cs="Arial"/>
          <w:sz w:val="20"/>
          <w:szCs w:val="20"/>
        </w:rPr>
        <w:t xml:space="preserve">variables denoting infections or treatment use which can be assumed to be chronic. </w:t>
      </w:r>
      <w:r w:rsidR="009E0411" w:rsidRPr="00210432">
        <w:rPr>
          <w:rFonts w:ascii="Arial" w:hAnsi="Arial" w:cs="Arial"/>
          <w:sz w:val="20"/>
          <w:szCs w:val="20"/>
        </w:rPr>
        <w:t xml:space="preserve">Missingness patterns in the remaining missing data will be explored. If there are missing outcomes that are missing at random conditional on </w:t>
      </w:r>
      <m:oMath>
        <m:r>
          <m:rPr>
            <m:sty m:val="bi"/>
          </m:rPr>
          <w:rPr>
            <w:rFonts w:ascii="Cambria Math" w:hAnsi="Cambria Math" w:cs="Arial"/>
            <w:sz w:val="20"/>
            <w:szCs w:val="20"/>
          </w:rPr>
          <m:t xml:space="preserve">C, </m:t>
        </m:r>
      </m:oMath>
      <w:r w:rsidR="009E0411" w:rsidRPr="00210432">
        <w:rPr>
          <w:rFonts w:ascii="Arial" w:eastAsiaTheme="minorEastAsia" w:hAnsi="Arial" w:cs="Arial"/>
          <w:bCs/>
          <w:sz w:val="20"/>
          <w:szCs w:val="20"/>
        </w:rPr>
        <w:t>then a complete case analysis is appropriate. If a complete case analysis is not appropriate,</w:t>
      </w:r>
      <w:r w:rsidR="009E0411" w:rsidRPr="00210432">
        <w:rPr>
          <w:rFonts w:ascii="Arial" w:eastAsiaTheme="minorEastAsia" w:hAnsi="Arial" w:cs="Arial"/>
          <w:b/>
          <w:sz w:val="20"/>
          <w:szCs w:val="20"/>
        </w:rPr>
        <w:t xml:space="preserve"> </w:t>
      </w:r>
      <w:r w:rsidR="009E0411" w:rsidRPr="00210432">
        <w:rPr>
          <w:rFonts w:ascii="Arial" w:hAnsi="Arial" w:cs="Arial"/>
          <w:sz w:val="20"/>
          <w:szCs w:val="20"/>
        </w:rPr>
        <w:t>more complex missing data methods such multiple imputation by chained equations may be considered.</w:t>
      </w:r>
    </w:p>
    <w:p w14:paraId="4A096337" w14:textId="2E312642" w:rsidR="009E0411" w:rsidRPr="00DE4A49" w:rsidRDefault="00121AF5" w:rsidP="007B4C65">
      <w:pPr>
        <w:pStyle w:val="Heading3"/>
      </w:pPr>
      <w:r>
        <w:t>4.6.</w:t>
      </w:r>
      <w:r w:rsidR="00205D47">
        <w:t>8</w:t>
      </w:r>
      <w:r>
        <w:t xml:space="preserve"> </w:t>
      </w:r>
      <w:r w:rsidR="009E0411" w:rsidRPr="00DE4A49">
        <w:t xml:space="preserve">Comparison of results against the target trial </w:t>
      </w:r>
    </w:p>
    <w:p w14:paraId="65300347" w14:textId="60600FAC" w:rsidR="009E0411" w:rsidRPr="00210432" w:rsidRDefault="00E121B0" w:rsidP="00E121B0">
      <w:pPr>
        <w:rPr>
          <w:rFonts w:ascii="Arial" w:hAnsi="Arial" w:cs="Arial"/>
          <w:color w:val="000000" w:themeColor="text1"/>
          <w:sz w:val="20"/>
          <w:szCs w:val="20"/>
        </w:rPr>
      </w:pPr>
      <w:r>
        <w:rPr>
          <w:rFonts w:ascii="Arial" w:hAnsi="Arial" w:cs="Arial"/>
          <w:color w:val="000000" w:themeColor="text1"/>
          <w:sz w:val="20"/>
          <w:szCs w:val="20"/>
        </w:rPr>
        <w:t>Results from the trial emulations will be compared to those from the associated trials to determine whether they are compatible. We will use the following criteria, as were used in the RCT</w:t>
      </w:r>
      <w:r w:rsidR="009E0411" w:rsidRPr="00210432">
        <w:rPr>
          <w:rFonts w:ascii="Arial" w:hAnsi="Arial" w:cs="Arial"/>
          <w:color w:val="000000" w:themeColor="text1"/>
          <w:sz w:val="20"/>
          <w:szCs w:val="20"/>
        </w:rPr>
        <w:t xml:space="preserve"> DUPLICATE Project [</w:t>
      </w:r>
      <w:r w:rsidR="00BA0193">
        <w:rPr>
          <w:rFonts w:ascii="Arial" w:hAnsi="Arial" w:cs="Arial"/>
          <w:color w:val="000000" w:themeColor="text1"/>
          <w:sz w:val="20"/>
          <w:szCs w:val="20"/>
        </w:rPr>
        <w:t>2</w:t>
      </w:r>
      <w:r w:rsidR="004D7042">
        <w:rPr>
          <w:rFonts w:ascii="Arial" w:hAnsi="Arial" w:cs="Arial"/>
          <w:color w:val="000000" w:themeColor="text1"/>
          <w:sz w:val="20"/>
          <w:szCs w:val="20"/>
        </w:rPr>
        <w:t>8</w:t>
      </w:r>
      <w:r w:rsidR="009E0411" w:rsidRPr="00210432">
        <w:rPr>
          <w:rFonts w:ascii="Arial" w:hAnsi="Arial" w:cs="Arial"/>
          <w:color w:val="000000" w:themeColor="text1"/>
          <w:sz w:val="20"/>
          <w:szCs w:val="20"/>
        </w:rPr>
        <w:t xml:space="preserve">]: </w:t>
      </w:r>
    </w:p>
    <w:p w14:paraId="7DFAB3E0" w14:textId="77777777" w:rsidR="009E0411" w:rsidRPr="00210432" w:rsidRDefault="009E0411" w:rsidP="009E0411">
      <w:pPr>
        <w:rPr>
          <w:rFonts w:ascii="Arial" w:hAnsi="Arial" w:cs="Arial"/>
          <w:color w:val="000000" w:themeColor="text1"/>
          <w:sz w:val="20"/>
          <w:szCs w:val="20"/>
        </w:rPr>
      </w:pPr>
      <w:r w:rsidRPr="00210432">
        <w:rPr>
          <w:rFonts w:ascii="Arial" w:hAnsi="Arial" w:cs="Arial"/>
          <w:color w:val="000000" w:themeColor="text1"/>
          <w:sz w:val="20"/>
          <w:szCs w:val="20"/>
        </w:rPr>
        <w:t>(1) do the estimated ATEs from the emulated trials replicate the direction and statistical significance of the estimated ATE in the target trial?</w:t>
      </w:r>
    </w:p>
    <w:p w14:paraId="15D38699" w14:textId="77777777" w:rsidR="009E0411" w:rsidRPr="00210432" w:rsidRDefault="009E0411" w:rsidP="009E0411">
      <w:pPr>
        <w:rPr>
          <w:rFonts w:ascii="Arial" w:hAnsi="Arial" w:cs="Arial"/>
          <w:color w:val="000000" w:themeColor="text1"/>
          <w:sz w:val="20"/>
          <w:szCs w:val="20"/>
        </w:rPr>
      </w:pPr>
      <w:r w:rsidRPr="00210432">
        <w:rPr>
          <w:rFonts w:ascii="Arial" w:hAnsi="Arial" w:cs="Arial"/>
          <w:color w:val="000000" w:themeColor="text1"/>
          <w:sz w:val="20"/>
          <w:szCs w:val="20"/>
        </w:rPr>
        <w:t xml:space="preserve">(2) do the estimated ATEs from the emulated trials lie within the 95% confidence intervals for the ATE estimates reported in the target trial? </w:t>
      </w:r>
    </w:p>
    <w:p w14:paraId="2C0346CC" w14:textId="00D51979" w:rsidR="00B0153F" w:rsidRDefault="009E0411" w:rsidP="009E0411">
      <w:pPr>
        <w:rPr>
          <w:rFonts w:ascii="Arial" w:hAnsi="Arial" w:cs="Arial"/>
          <w:color w:val="000000" w:themeColor="text1"/>
          <w:sz w:val="20"/>
          <w:szCs w:val="20"/>
        </w:rPr>
      </w:pPr>
      <w:r w:rsidRPr="00210432">
        <w:rPr>
          <w:rFonts w:ascii="Arial" w:hAnsi="Arial" w:cs="Arial"/>
          <w:color w:val="000000" w:themeColor="text1"/>
          <w:sz w:val="20"/>
          <w:szCs w:val="20"/>
        </w:rPr>
        <w:t>(3) is there evidence against the null hypothesis of no difference between the ATE estimates from the emulated trials and that from target trial? To assess this, we calculate the standardised mean difference between the effect estimate obtained in the target trial and that obtained in the emulated trial. Evidence against the null hypothesis at the 5% level is indicated by a standardised mean difference greater than 1.96.</w:t>
      </w:r>
    </w:p>
    <w:p w14:paraId="5023A87C" w14:textId="7A6D676A" w:rsidR="00121AF5" w:rsidRDefault="00CB59A7" w:rsidP="00CB59A7">
      <w:pPr>
        <w:pStyle w:val="Heading1"/>
      </w:pPr>
      <w:r>
        <w:t xml:space="preserve">5. Potential sources of biases and limitations of the </w:t>
      </w:r>
      <w:r w:rsidR="008746DD">
        <w:t xml:space="preserve">UK CF </w:t>
      </w:r>
      <w:r>
        <w:t>Registry data</w:t>
      </w:r>
      <w:r w:rsidR="00121AF5">
        <w:t xml:space="preserve"> </w:t>
      </w:r>
    </w:p>
    <w:p w14:paraId="0F7CAFB8" w14:textId="03B43D4C" w:rsidR="00CB59A7" w:rsidRDefault="00184391" w:rsidP="00121AF5">
      <w:pPr>
        <w:rPr>
          <w:rFonts w:ascii="Arial" w:hAnsi="Arial" w:cs="Arial"/>
          <w:sz w:val="20"/>
          <w:szCs w:val="20"/>
        </w:rPr>
      </w:pPr>
      <w:r>
        <w:rPr>
          <w:rFonts w:ascii="Arial" w:hAnsi="Arial" w:cs="Arial"/>
          <w:sz w:val="20"/>
          <w:szCs w:val="20"/>
        </w:rPr>
        <w:t xml:space="preserve">Results from the emulated trials will be compared to the target trials, with the assumption that the </w:t>
      </w:r>
      <w:r w:rsidR="002D57CF">
        <w:rPr>
          <w:rFonts w:ascii="Arial" w:hAnsi="Arial" w:cs="Arial"/>
          <w:sz w:val="20"/>
          <w:szCs w:val="20"/>
        </w:rPr>
        <w:t>target trial results</w:t>
      </w:r>
      <w:r>
        <w:rPr>
          <w:rFonts w:ascii="Arial" w:hAnsi="Arial" w:cs="Arial"/>
          <w:sz w:val="20"/>
          <w:szCs w:val="20"/>
        </w:rPr>
        <w:t xml:space="preserve"> represent “the truth”. Target trials 3 and 4 were rated as low risk of bias and so it can be reasonably expected that the results presented in these trials are </w:t>
      </w:r>
      <w:r w:rsidR="00345DCC">
        <w:rPr>
          <w:rFonts w:ascii="Arial" w:hAnsi="Arial" w:cs="Arial"/>
          <w:sz w:val="20"/>
          <w:szCs w:val="20"/>
        </w:rPr>
        <w:t>similar to the true underlying effects that are being estimated. However, target trials 1 and 2 were rated as having high risk of performance bias.</w:t>
      </w:r>
      <w:r w:rsidR="00255E0C">
        <w:rPr>
          <w:rFonts w:ascii="Arial" w:hAnsi="Arial" w:cs="Arial"/>
          <w:sz w:val="20"/>
          <w:szCs w:val="20"/>
        </w:rPr>
        <w:t xml:space="preserve"> These trials were described as open-label and so </w:t>
      </w:r>
      <w:r w:rsidR="00FC1F92">
        <w:rPr>
          <w:rFonts w:ascii="Arial" w:hAnsi="Arial" w:cs="Arial"/>
          <w:sz w:val="20"/>
          <w:szCs w:val="20"/>
        </w:rPr>
        <w:t xml:space="preserve">participants and clinicians were not blinded to treatment allocation. When interpreting our findings, we must take into consideration the risk of bias in the results of the target trials. </w:t>
      </w:r>
    </w:p>
    <w:p w14:paraId="034C9C23" w14:textId="6929597B" w:rsidR="003F1AD8" w:rsidRDefault="003F1AD8" w:rsidP="00121AF5">
      <w:pPr>
        <w:rPr>
          <w:rFonts w:ascii="Arial" w:hAnsi="Arial" w:cs="Arial"/>
          <w:sz w:val="20"/>
          <w:szCs w:val="20"/>
        </w:rPr>
      </w:pPr>
      <w:r>
        <w:rPr>
          <w:rFonts w:ascii="Arial" w:hAnsi="Arial" w:cs="Arial"/>
          <w:sz w:val="20"/>
          <w:szCs w:val="20"/>
        </w:rPr>
        <w:lastRenderedPageBreak/>
        <w:t xml:space="preserve">There are also </w:t>
      </w:r>
      <w:r w:rsidR="005B222D">
        <w:rPr>
          <w:rFonts w:ascii="Arial" w:hAnsi="Arial" w:cs="Arial"/>
          <w:sz w:val="20"/>
          <w:szCs w:val="20"/>
        </w:rPr>
        <w:t>several</w:t>
      </w:r>
      <w:r>
        <w:rPr>
          <w:rFonts w:ascii="Arial" w:hAnsi="Arial" w:cs="Arial"/>
          <w:sz w:val="20"/>
          <w:szCs w:val="20"/>
        </w:rPr>
        <w:t xml:space="preserve"> </w:t>
      </w:r>
      <w:r w:rsidR="00DA101B">
        <w:rPr>
          <w:rFonts w:ascii="Arial" w:hAnsi="Arial" w:cs="Arial"/>
          <w:sz w:val="20"/>
          <w:szCs w:val="20"/>
        </w:rPr>
        <w:t xml:space="preserve">limitations of the CF Registry data which may account for any differences in the results. </w:t>
      </w:r>
      <w:r w:rsidR="005B222D">
        <w:rPr>
          <w:rFonts w:ascii="Arial" w:hAnsi="Arial" w:cs="Arial"/>
          <w:sz w:val="20"/>
          <w:szCs w:val="20"/>
        </w:rPr>
        <w:t xml:space="preserve">Such limitations may lead to bias, or to differences in the study populations between the target and emulated trials. </w:t>
      </w:r>
      <w:r w:rsidR="00DA101B">
        <w:rPr>
          <w:rFonts w:ascii="Arial" w:hAnsi="Arial" w:cs="Arial"/>
          <w:sz w:val="20"/>
          <w:szCs w:val="20"/>
        </w:rPr>
        <w:t xml:space="preserve">The details of these are discussed below. </w:t>
      </w:r>
    </w:p>
    <w:p w14:paraId="03038846" w14:textId="4E18AF6C" w:rsidR="00121AF5" w:rsidRDefault="00797294" w:rsidP="00384D37">
      <w:pPr>
        <w:pStyle w:val="Heading4"/>
      </w:pPr>
      <w:r>
        <w:t>Limitations in emulating the target trials</w:t>
      </w:r>
      <w:r w:rsidR="00121AF5" w:rsidRPr="001A4975">
        <w:t xml:space="preserve"> eligibility criteria </w:t>
      </w:r>
    </w:p>
    <w:p w14:paraId="197C7C26" w14:textId="77777777" w:rsidR="00CB3123" w:rsidRDefault="001A4975" w:rsidP="001A4975">
      <w:pPr>
        <w:rPr>
          <w:rFonts w:ascii="Arial" w:hAnsi="Arial" w:cs="Arial"/>
          <w:sz w:val="20"/>
          <w:szCs w:val="20"/>
        </w:rPr>
      </w:pPr>
      <w:r>
        <w:rPr>
          <w:rFonts w:ascii="Arial" w:hAnsi="Arial" w:cs="Arial"/>
          <w:sz w:val="20"/>
          <w:szCs w:val="20"/>
        </w:rPr>
        <w:t xml:space="preserve">Some criteria are impossible to emulate as the relevant variables are not collected in the registry, for example chest radiograph results. Other criteria may be impossible to emulate as they depend on the opinion of the investigator. </w:t>
      </w:r>
      <w:r w:rsidR="00CB3123">
        <w:rPr>
          <w:rFonts w:ascii="Arial" w:hAnsi="Arial" w:cs="Arial"/>
          <w:sz w:val="20"/>
          <w:szCs w:val="20"/>
        </w:rPr>
        <w:t xml:space="preserve">Some of the eligibility criteria specify a timespan that is infeasible to emulate using the Registry data. For example, target trial 1 excluded participants who had changes in physiotherapy technique within 7 days prior to screening visit. Data on physiotherapy dates are not available in the CF Registry.  </w:t>
      </w:r>
    </w:p>
    <w:p w14:paraId="2101F175" w14:textId="77777777" w:rsidR="00CB3123" w:rsidRDefault="00A126AB" w:rsidP="001A4975">
      <w:pPr>
        <w:rPr>
          <w:rFonts w:ascii="Arial" w:hAnsi="Arial" w:cs="Arial"/>
          <w:sz w:val="20"/>
          <w:szCs w:val="20"/>
        </w:rPr>
      </w:pPr>
      <w:r>
        <w:rPr>
          <w:rFonts w:ascii="Arial" w:hAnsi="Arial" w:cs="Arial"/>
          <w:sz w:val="20"/>
          <w:szCs w:val="20"/>
        </w:rPr>
        <w:t xml:space="preserve">Some of the target trials specify eligibility criteria based on laboratory results. While these </w:t>
      </w:r>
      <w:r w:rsidR="00774394">
        <w:rPr>
          <w:rFonts w:ascii="Arial" w:hAnsi="Arial" w:cs="Arial"/>
          <w:sz w:val="20"/>
          <w:szCs w:val="20"/>
        </w:rPr>
        <w:t>are collected in the registry, we believe that they contain a large amount of missingness. If there i</w:t>
      </w:r>
      <w:r w:rsidR="0099414B">
        <w:rPr>
          <w:rFonts w:ascii="Arial" w:hAnsi="Arial" w:cs="Arial"/>
          <w:sz w:val="20"/>
          <w:szCs w:val="20"/>
        </w:rPr>
        <w:t>s insufficient data on laboratory results in the Registry, proxy variables could be used</w:t>
      </w:r>
      <w:r w:rsidR="003719CE">
        <w:rPr>
          <w:rFonts w:ascii="Arial" w:hAnsi="Arial" w:cs="Arial"/>
          <w:sz w:val="20"/>
          <w:szCs w:val="20"/>
        </w:rPr>
        <w:t>. For example, the criterion “exclude individuals with liver function tests</w:t>
      </w:r>
      <w:r w:rsidR="007C30AB">
        <w:rPr>
          <w:rFonts w:ascii="Arial" w:hAnsi="Arial" w:cs="Arial"/>
          <w:sz w:val="20"/>
          <w:szCs w:val="20"/>
        </w:rPr>
        <w:t xml:space="preserve"> more than twice the laboratory upper limit</w:t>
      </w:r>
      <w:r w:rsidR="003719CE">
        <w:rPr>
          <w:rFonts w:ascii="Arial" w:hAnsi="Arial" w:cs="Arial"/>
          <w:sz w:val="20"/>
          <w:szCs w:val="20"/>
        </w:rPr>
        <w:t>”</w:t>
      </w:r>
      <w:r w:rsidR="007C30AB">
        <w:rPr>
          <w:rFonts w:ascii="Arial" w:hAnsi="Arial" w:cs="Arial"/>
          <w:sz w:val="20"/>
          <w:szCs w:val="20"/>
        </w:rPr>
        <w:t xml:space="preserve"> can be approximated by excluding individuals with recorded acute liver failure. </w:t>
      </w:r>
    </w:p>
    <w:p w14:paraId="2B2D6E7A" w14:textId="5BE19178" w:rsidR="001E29BC" w:rsidRDefault="001E29BC" w:rsidP="001A4975">
      <w:pPr>
        <w:rPr>
          <w:rFonts w:ascii="Arial" w:hAnsi="Arial" w:cs="Arial"/>
          <w:sz w:val="20"/>
          <w:szCs w:val="20"/>
        </w:rPr>
      </w:pPr>
      <w:r>
        <w:rPr>
          <w:rFonts w:ascii="Arial" w:hAnsi="Arial" w:cs="Arial"/>
          <w:sz w:val="20"/>
          <w:szCs w:val="20"/>
        </w:rPr>
        <w:t xml:space="preserve">Clinical stability at the time of treatment initiation is a </w:t>
      </w:r>
      <w:r w:rsidR="007B1276">
        <w:rPr>
          <w:rFonts w:ascii="Arial" w:hAnsi="Arial" w:cs="Arial"/>
          <w:sz w:val="20"/>
          <w:szCs w:val="20"/>
        </w:rPr>
        <w:t>common criterion</w:t>
      </w:r>
      <w:r>
        <w:rPr>
          <w:rFonts w:ascii="Arial" w:hAnsi="Arial" w:cs="Arial"/>
          <w:sz w:val="20"/>
          <w:szCs w:val="20"/>
        </w:rPr>
        <w:t xml:space="preserve"> for the target trials. We assume clinical stability at annual review visits, </w:t>
      </w:r>
      <w:r w:rsidR="00B37913">
        <w:rPr>
          <w:rFonts w:ascii="Arial" w:hAnsi="Arial" w:cs="Arial"/>
          <w:sz w:val="20"/>
          <w:szCs w:val="20"/>
        </w:rPr>
        <w:t xml:space="preserve">but when time 0 is defined for a date other than </w:t>
      </w:r>
      <w:r w:rsidR="00FA576D">
        <w:rPr>
          <w:rFonts w:ascii="Arial" w:hAnsi="Arial" w:cs="Arial"/>
          <w:sz w:val="20"/>
          <w:szCs w:val="20"/>
        </w:rPr>
        <w:t>an annual clinical review visit,</w:t>
      </w:r>
      <w:r w:rsidR="00CB3123">
        <w:rPr>
          <w:rFonts w:ascii="Arial" w:hAnsi="Arial" w:cs="Arial"/>
          <w:sz w:val="20"/>
          <w:szCs w:val="20"/>
        </w:rPr>
        <w:t xml:space="preserve"> </w:t>
      </w:r>
      <w:r w:rsidR="00E754F2">
        <w:rPr>
          <w:rFonts w:ascii="Arial" w:hAnsi="Arial" w:cs="Arial"/>
          <w:sz w:val="20"/>
          <w:szCs w:val="20"/>
        </w:rPr>
        <w:t xml:space="preserve">clinical stability cannot be assumed. </w:t>
      </w:r>
      <w:r w:rsidR="00FA576D">
        <w:rPr>
          <w:rFonts w:ascii="Arial" w:hAnsi="Arial" w:cs="Arial"/>
          <w:sz w:val="20"/>
          <w:szCs w:val="20"/>
        </w:rPr>
        <w:t xml:space="preserve"> </w:t>
      </w:r>
    </w:p>
    <w:p w14:paraId="2E7C4C56" w14:textId="36199C85" w:rsidR="003E7880" w:rsidRDefault="003E7880" w:rsidP="003E7880">
      <w:pPr>
        <w:pStyle w:val="Heading4"/>
      </w:pPr>
      <w:r>
        <w:t>Limitations in emulating the target trials</w:t>
      </w:r>
      <w:r w:rsidRPr="001A4975">
        <w:t xml:space="preserve"> </w:t>
      </w:r>
      <w:r>
        <w:t xml:space="preserve">treatment strategies </w:t>
      </w:r>
      <w:r w:rsidRPr="001A4975">
        <w:t xml:space="preserve"> </w:t>
      </w:r>
    </w:p>
    <w:p w14:paraId="28067D2A" w14:textId="44A16799" w:rsidR="009355B0" w:rsidRPr="00220C5C" w:rsidRDefault="00220C5C" w:rsidP="00220C5C">
      <w:pPr>
        <w:rPr>
          <w:rFonts w:ascii="Arial" w:hAnsi="Arial" w:cs="Arial"/>
          <w:sz w:val="20"/>
          <w:szCs w:val="20"/>
        </w:rPr>
      </w:pPr>
      <w:r>
        <w:rPr>
          <w:rFonts w:ascii="Arial" w:hAnsi="Arial" w:cs="Arial"/>
          <w:sz w:val="20"/>
          <w:szCs w:val="20"/>
        </w:rPr>
        <w:t xml:space="preserve">Treatment strategies in the target trials are more precisely defined </w:t>
      </w:r>
      <w:r w:rsidR="003E7880">
        <w:rPr>
          <w:rFonts w:ascii="Arial" w:hAnsi="Arial" w:cs="Arial"/>
          <w:sz w:val="20"/>
          <w:szCs w:val="20"/>
        </w:rPr>
        <w:t>with respect to</w:t>
      </w:r>
      <w:r>
        <w:rPr>
          <w:rFonts w:ascii="Arial" w:hAnsi="Arial" w:cs="Arial"/>
          <w:sz w:val="20"/>
          <w:szCs w:val="20"/>
        </w:rPr>
        <w:t xml:space="preserve"> dosage. </w:t>
      </w:r>
      <w:r w:rsidR="00A37ED8">
        <w:rPr>
          <w:rFonts w:ascii="Arial" w:hAnsi="Arial" w:cs="Arial"/>
          <w:sz w:val="20"/>
          <w:szCs w:val="20"/>
        </w:rPr>
        <w:t xml:space="preserve">The Registry does not provide reliable data on treatment </w:t>
      </w:r>
      <w:r w:rsidR="00D14D1A">
        <w:rPr>
          <w:rFonts w:ascii="Arial" w:hAnsi="Arial" w:cs="Arial"/>
          <w:sz w:val="20"/>
          <w:szCs w:val="20"/>
        </w:rPr>
        <w:t>doses,</w:t>
      </w:r>
      <w:r w:rsidR="00A37ED8">
        <w:rPr>
          <w:rFonts w:ascii="Arial" w:hAnsi="Arial" w:cs="Arial"/>
          <w:sz w:val="20"/>
          <w:szCs w:val="20"/>
        </w:rPr>
        <w:t xml:space="preserve"> and it is possible that individuals in the registry will take different doses to those given in the target trials.</w:t>
      </w:r>
      <w:r w:rsidR="00D14D1A">
        <w:rPr>
          <w:rFonts w:ascii="Arial" w:hAnsi="Arial" w:cs="Arial"/>
          <w:sz w:val="20"/>
          <w:szCs w:val="20"/>
        </w:rPr>
        <w:t xml:space="preserve"> Moreover, there is no data on adherence and ou</w:t>
      </w:r>
      <w:r w:rsidR="00816561">
        <w:rPr>
          <w:rFonts w:ascii="Arial" w:hAnsi="Arial" w:cs="Arial"/>
          <w:sz w:val="20"/>
          <w:szCs w:val="20"/>
        </w:rPr>
        <w:t>r</w:t>
      </w:r>
      <w:r w:rsidR="00D14D1A">
        <w:rPr>
          <w:rFonts w:ascii="Arial" w:hAnsi="Arial" w:cs="Arial"/>
          <w:sz w:val="20"/>
          <w:szCs w:val="20"/>
        </w:rPr>
        <w:t xml:space="preserve"> emulated trials rely on data on treatment prescription, which may differ from actual treatment use. </w:t>
      </w:r>
    </w:p>
    <w:p w14:paraId="35B76735" w14:textId="3135D603" w:rsidR="00816561" w:rsidRDefault="00816561" w:rsidP="00816561">
      <w:pPr>
        <w:pStyle w:val="Heading4"/>
      </w:pPr>
      <w:r>
        <w:t>Limitations in emulating the target trials</w:t>
      </w:r>
      <w:r w:rsidRPr="001A4975">
        <w:t xml:space="preserve"> </w:t>
      </w:r>
      <w:r>
        <w:t>outcomes of interest</w:t>
      </w:r>
    </w:p>
    <w:p w14:paraId="51FC23CC" w14:textId="751F1207" w:rsidR="00E754F2" w:rsidRPr="00085D2F" w:rsidRDefault="00467EFC" w:rsidP="00E754F2">
      <w:pPr>
        <w:rPr>
          <w:rFonts w:ascii="Arial" w:hAnsi="Arial" w:cs="Arial"/>
          <w:sz w:val="20"/>
          <w:szCs w:val="20"/>
        </w:rPr>
      </w:pPr>
      <w:r w:rsidRPr="00085D2F">
        <w:rPr>
          <w:rFonts w:ascii="Arial" w:hAnsi="Arial" w:cs="Arial"/>
          <w:sz w:val="20"/>
          <w:szCs w:val="20"/>
        </w:rPr>
        <w:t>The target trials calculate the primary outcome, FEV</w:t>
      </w:r>
      <w:r w:rsidRPr="00DE196D">
        <w:rPr>
          <w:rFonts w:ascii="Arial" w:hAnsi="Arial" w:cs="Arial"/>
          <w:sz w:val="20"/>
          <w:szCs w:val="20"/>
          <w:vertAlign w:val="subscript"/>
        </w:rPr>
        <w:t>1</w:t>
      </w:r>
      <w:r w:rsidRPr="00085D2F">
        <w:rPr>
          <w:rFonts w:ascii="Arial" w:hAnsi="Arial" w:cs="Arial"/>
          <w:sz w:val="20"/>
          <w:szCs w:val="20"/>
        </w:rPr>
        <w:t>%, using the Knudson equations</w:t>
      </w:r>
      <w:r w:rsidR="00942883">
        <w:rPr>
          <w:rFonts w:ascii="Arial" w:hAnsi="Arial" w:cs="Arial"/>
          <w:sz w:val="20"/>
          <w:szCs w:val="20"/>
        </w:rPr>
        <w:t xml:space="preserve"> [2</w:t>
      </w:r>
      <w:r w:rsidR="004D7042">
        <w:rPr>
          <w:rFonts w:ascii="Arial" w:hAnsi="Arial" w:cs="Arial"/>
          <w:sz w:val="20"/>
          <w:szCs w:val="20"/>
        </w:rPr>
        <w:t>9</w:t>
      </w:r>
      <w:r w:rsidR="00942883">
        <w:rPr>
          <w:rFonts w:ascii="Arial" w:hAnsi="Arial" w:cs="Arial"/>
          <w:sz w:val="20"/>
          <w:szCs w:val="20"/>
        </w:rPr>
        <w:t>]</w:t>
      </w:r>
      <w:r w:rsidRPr="00085D2F">
        <w:rPr>
          <w:rFonts w:ascii="Arial" w:hAnsi="Arial" w:cs="Arial"/>
          <w:sz w:val="20"/>
          <w:szCs w:val="20"/>
        </w:rPr>
        <w:t>. We will use the Global Lung Initiative (GLI) equations</w:t>
      </w:r>
      <w:r w:rsidR="00942883">
        <w:rPr>
          <w:rFonts w:ascii="Arial" w:hAnsi="Arial" w:cs="Arial"/>
          <w:sz w:val="20"/>
          <w:szCs w:val="20"/>
        </w:rPr>
        <w:t xml:space="preserve"> [</w:t>
      </w:r>
      <w:r w:rsidR="004D7042">
        <w:rPr>
          <w:rFonts w:ascii="Arial" w:hAnsi="Arial" w:cs="Arial"/>
          <w:sz w:val="20"/>
          <w:szCs w:val="20"/>
        </w:rPr>
        <w:t>30</w:t>
      </w:r>
      <w:r w:rsidR="00942883">
        <w:rPr>
          <w:rFonts w:ascii="Arial" w:hAnsi="Arial" w:cs="Arial"/>
          <w:sz w:val="20"/>
          <w:szCs w:val="20"/>
        </w:rPr>
        <w:t>]</w:t>
      </w:r>
      <w:r w:rsidRPr="00085D2F">
        <w:rPr>
          <w:rFonts w:ascii="Arial" w:hAnsi="Arial" w:cs="Arial"/>
          <w:sz w:val="20"/>
          <w:szCs w:val="20"/>
        </w:rPr>
        <w:t xml:space="preserve"> in the emulated trial</w:t>
      </w:r>
      <w:r w:rsidR="00E121B0">
        <w:rPr>
          <w:rFonts w:ascii="Arial" w:hAnsi="Arial" w:cs="Arial"/>
          <w:sz w:val="20"/>
          <w:szCs w:val="20"/>
        </w:rPr>
        <w:t>s</w:t>
      </w:r>
      <w:r w:rsidRPr="00085D2F">
        <w:rPr>
          <w:rFonts w:ascii="Arial" w:hAnsi="Arial" w:cs="Arial"/>
          <w:sz w:val="20"/>
          <w:szCs w:val="20"/>
        </w:rPr>
        <w:t xml:space="preserve"> as these are now more commonly used. Previous research suggests that results will be minimally affected by choice of reference equations</w:t>
      </w:r>
      <w:r w:rsidR="00942883">
        <w:rPr>
          <w:rFonts w:ascii="Arial" w:hAnsi="Arial" w:cs="Arial"/>
          <w:sz w:val="20"/>
          <w:szCs w:val="20"/>
        </w:rPr>
        <w:t xml:space="preserve"> [</w:t>
      </w:r>
      <w:r w:rsidR="00735A03">
        <w:rPr>
          <w:rFonts w:ascii="Arial" w:hAnsi="Arial" w:cs="Arial"/>
          <w:sz w:val="20"/>
          <w:szCs w:val="20"/>
        </w:rPr>
        <w:t>3</w:t>
      </w:r>
      <w:r w:rsidR="004D7042">
        <w:rPr>
          <w:rFonts w:ascii="Arial" w:hAnsi="Arial" w:cs="Arial"/>
          <w:sz w:val="20"/>
          <w:szCs w:val="20"/>
        </w:rPr>
        <w:t>1</w:t>
      </w:r>
      <w:r w:rsidR="00942883">
        <w:rPr>
          <w:rFonts w:ascii="Arial" w:hAnsi="Arial" w:cs="Arial"/>
          <w:sz w:val="20"/>
          <w:szCs w:val="20"/>
        </w:rPr>
        <w:t>]</w:t>
      </w:r>
      <w:r w:rsidRPr="00085D2F">
        <w:rPr>
          <w:rFonts w:ascii="Arial" w:hAnsi="Arial" w:cs="Arial"/>
          <w:sz w:val="20"/>
          <w:szCs w:val="20"/>
        </w:rPr>
        <w:t xml:space="preserve">. </w:t>
      </w:r>
    </w:p>
    <w:p w14:paraId="6A9AEFD1" w14:textId="7F102DFF" w:rsidR="00B20A86" w:rsidRDefault="0089181D" w:rsidP="00384D37">
      <w:pPr>
        <w:rPr>
          <w:rFonts w:ascii="Arial" w:hAnsi="Arial" w:cs="Arial"/>
          <w:sz w:val="20"/>
          <w:szCs w:val="20"/>
        </w:rPr>
      </w:pPr>
      <w:r w:rsidRPr="00085D2F">
        <w:rPr>
          <w:rFonts w:ascii="Arial" w:hAnsi="Arial" w:cs="Arial"/>
          <w:sz w:val="20"/>
          <w:szCs w:val="20"/>
        </w:rPr>
        <w:t xml:space="preserve">A secondary outcome of interest is the time to first respiratory hospitalisation. Reliable data on reason for hospitalisation is not available in the Registry and </w:t>
      </w:r>
      <w:r w:rsidR="001136D4" w:rsidRPr="00085D2F">
        <w:rPr>
          <w:rFonts w:ascii="Arial" w:hAnsi="Arial" w:cs="Arial"/>
          <w:sz w:val="20"/>
          <w:szCs w:val="20"/>
        </w:rPr>
        <w:t xml:space="preserve">we will use time to first </w:t>
      </w:r>
      <w:r w:rsidR="00E21C31" w:rsidRPr="00085D2F">
        <w:rPr>
          <w:rFonts w:ascii="Arial" w:hAnsi="Arial" w:cs="Arial"/>
          <w:sz w:val="20"/>
          <w:szCs w:val="20"/>
        </w:rPr>
        <w:t>hospitalisation</w:t>
      </w:r>
      <w:r w:rsidR="001136D4" w:rsidRPr="00085D2F">
        <w:rPr>
          <w:rFonts w:ascii="Arial" w:hAnsi="Arial" w:cs="Arial"/>
          <w:sz w:val="20"/>
          <w:szCs w:val="20"/>
        </w:rPr>
        <w:t xml:space="preserve"> as a proxy, assuming individuals are hospitalised for a</w:t>
      </w:r>
      <w:r w:rsidR="00932973">
        <w:rPr>
          <w:rFonts w:ascii="Arial" w:hAnsi="Arial" w:cs="Arial"/>
          <w:sz w:val="20"/>
          <w:szCs w:val="20"/>
        </w:rPr>
        <w:t>n</w:t>
      </w:r>
      <w:r w:rsidR="00E121B0">
        <w:rPr>
          <w:rFonts w:ascii="Arial" w:hAnsi="Arial" w:cs="Arial"/>
          <w:sz w:val="20"/>
          <w:szCs w:val="20"/>
        </w:rPr>
        <w:t xml:space="preserve"> exacerbation</w:t>
      </w:r>
      <w:r w:rsidR="001136D4" w:rsidRPr="00085D2F">
        <w:rPr>
          <w:rFonts w:ascii="Arial" w:hAnsi="Arial" w:cs="Arial"/>
          <w:sz w:val="20"/>
          <w:szCs w:val="20"/>
        </w:rPr>
        <w:t xml:space="preserve">. </w:t>
      </w:r>
      <w:r w:rsidR="00F626DE" w:rsidRPr="00085D2F">
        <w:rPr>
          <w:rFonts w:ascii="Arial" w:hAnsi="Arial" w:cs="Arial"/>
          <w:sz w:val="20"/>
          <w:szCs w:val="20"/>
        </w:rPr>
        <w:t xml:space="preserve">Another secondary outcome of interest is the time to first IV antibiotics administered for respiratory exacerbation. Reasons for treatment </w:t>
      </w:r>
      <w:r w:rsidR="00E21C31" w:rsidRPr="00085D2F">
        <w:rPr>
          <w:rFonts w:ascii="Arial" w:hAnsi="Arial" w:cs="Arial"/>
          <w:sz w:val="20"/>
          <w:szCs w:val="20"/>
        </w:rPr>
        <w:t>prescription</w:t>
      </w:r>
      <w:r w:rsidR="00F626DE" w:rsidRPr="00085D2F">
        <w:rPr>
          <w:rFonts w:ascii="Arial" w:hAnsi="Arial" w:cs="Arial"/>
          <w:sz w:val="20"/>
          <w:szCs w:val="20"/>
        </w:rPr>
        <w:t xml:space="preserve"> are not recorded in the Registry and so time to first prescription of IV antibiotics is used as a </w:t>
      </w:r>
      <w:r w:rsidR="00E21C31" w:rsidRPr="00085D2F">
        <w:rPr>
          <w:rFonts w:ascii="Arial" w:hAnsi="Arial" w:cs="Arial"/>
          <w:sz w:val="20"/>
          <w:szCs w:val="20"/>
        </w:rPr>
        <w:t>proxy</w:t>
      </w:r>
      <w:r w:rsidR="006D79D0">
        <w:rPr>
          <w:rFonts w:ascii="Arial" w:hAnsi="Arial" w:cs="Arial"/>
          <w:sz w:val="20"/>
          <w:szCs w:val="20"/>
        </w:rPr>
        <w:t xml:space="preserve"> variable with the assumption that the IV antibiotics are </w:t>
      </w:r>
      <w:r w:rsidR="00625D7E">
        <w:rPr>
          <w:rFonts w:ascii="Arial" w:hAnsi="Arial" w:cs="Arial"/>
          <w:sz w:val="20"/>
          <w:szCs w:val="20"/>
        </w:rPr>
        <w:t xml:space="preserve">administered for respiratory exacerbation. </w:t>
      </w:r>
    </w:p>
    <w:p w14:paraId="65B5C697" w14:textId="28A940EE" w:rsidR="00384D37" w:rsidRPr="00384D37" w:rsidRDefault="00384D37" w:rsidP="00384D37">
      <w:pPr>
        <w:pStyle w:val="Heading4"/>
      </w:pPr>
      <w:r>
        <w:t>Confounding bias</w:t>
      </w:r>
    </w:p>
    <w:p w14:paraId="3E283C26" w14:textId="0AB3656F" w:rsidR="00C75BD6" w:rsidRPr="00085D2F" w:rsidRDefault="00C75BD6" w:rsidP="00C75BD6">
      <w:pPr>
        <w:rPr>
          <w:rFonts w:ascii="Arial" w:hAnsi="Arial" w:cs="Arial"/>
          <w:sz w:val="20"/>
          <w:szCs w:val="20"/>
        </w:rPr>
      </w:pPr>
      <w:r w:rsidRPr="00085D2F">
        <w:rPr>
          <w:rFonts w:ascii="Arial" w:hAnsi="Arial" w:cs="Arial"/>
          <w:sz w:val="20"/>
          <w:szCs w:val="20"/>
        </w:rPr>
        <w:t>Our analyses rely on the assumption that all confounding of the treatment-outcome association is accounted for in the analysis. It is possible that there are some factors associated with both treatment and the outcome, that are not collected in the registry and may lead to residual confounding bias. We plan a sensitivity analysis to assess how sensitive ou</w:t>
      </w:r>
      <w:r w:rsidR="00625D7E">
        <w:rPr>
          <w:rFonts w:ascii="Arial" w:hAnsi="Arial" w:cs="Arial"/>
          <w:sz w:val="20"/>
          <w:szCs w:val="20"/>
        </w:rPr>
        <w:t>r</w:t>
      </w:r>
      <w:r w:rsidRPr="00085D2F">
        <w:rPr>
          <w:rFonts w:ascii="Arial" w:hAnsi="Arial" w:cs="Arial"/>
          <w:sz w:val="20"/>
          <w:szCs w:val="20"/>
        </w:rPr>
        <w:t xml:space="preserve"> results are to unmeasured confounders. </w:t>
      </w:r>
    </w:p>
    <w:p w14:paraId="75C0A448" w14:textId="65A0B6B2" w:rsidR="00C75BD6" w:rsidRDefault="00B36A3C" w:rsidP="00B36A3C">
      <w:pPr>
        <w:pStyle w:val="Heading1"/>
      </w:pPr>
      <w:r>
        <w:t>6</w:t>
      </w:r>
      <w:r w:rsidR="00E21C31">
        <w:t xml:space="preserve"> </w:t>
      </w:r>
      <w:r w:rsidR="00C75BD6">
        <w:t>Ethics</w:t>
      </w:r>
    </w:p>
    <w:p w14:paraId="5B90DA9F" w14:textId="724AAB9E" w:rsidR="00C75BD6" w:rsidRPr="00085D2F" w:rsidRDefault="00C75BD6" w:rsidP="00C75BD6">
      <w:pPr>
        <w:rPr>
          <w:rFonts w:ascii="Arial" w:hAnsi="Arial" w:cs="Arial"/>
          <w:sz w:val="20"/>
          <w:szCs w:val="20"/>
        </w:rPr>
      </w:pPr>
      <w:r w:rsidRPr="00085D2F">
        <w:rPr>
          <w:rFonts w:ascii="Arial" w:hAnsi="Arial" w:cs="Arial"/>
          <w:sz w:val="20"/>
          <w:szCs w:val="20"/>
        </w:rPr>
        <w:t>This project will use anonymised data from the UK CF Registry, which has Research Ethics Approval (ref: 24/EE/0012)</w:t>
      </w:r>
      <w:r w:rsidR="00277BE8" w:rsidRPr="00085D2F">
        <w:rPr>
          <w:rFonts w:ascii="Arial" w:hAnsi="Arial" w:cs="Arial"/>
          <w:sz w:val="20"/>
          <w:szCs w:val="20"/>
        </w:rPr>
        <w:t xml:space="preserve">. We will </w:t>
      </w:r>
      <w:r w:rsidR="000F210B" w:rsidRPr="00085D2F">
        <w:rPr>
          <w:rFonts w:ascii="Arial" w:hAnsi="Arial" w:cs="Arial"/>
          <w:sz w:val="20"/>
          <w:szCs w:val="20"/>
        </w:rPr>
        <w:t xml:space="preserve">seek ethical approval from the London School of Hygiene and Tropical Medicine Ethics Committee. </w:t>
      </w:r>
    </w:p>
    <w:p w14:paraId="4E0A716F" w14:textId="2D2EB67A" w:rsidR="00E51B94" w:rsidRPr="00EF742C" w:rsidRDefault="00E51B94" w:rsidP="00B36A3C">
      <w:pPr>
        <w:pStyle w:val="Heading1"/>
      </w:pPr>
      <w:r w:rsidRPr="00EF742C">
        <w:lastRenderedPageBreak/>
        <w:t>Acknowledgements</w:t>
      </w:r>
    </w:p>
    <w:p w14:paraId="01AE9427" w14:textId="5947B961" w:rsidR="00E51B94" w:rsidRPr="00C81210" w:rsidRDefault="00E51B94" w:rsidP="00E51B94">
      <w:pPr>
        <w:rPr>
          <w:rFonts w:ascii="Arial" w:hAnsi="Arial" w:cs="Arial"/>
          <w:sz w:val="20"/>
          <w:szCs w:val="20"/>
        </w:rPr>
      </w:pPr>
      <w:r w:rsidRPr="00EF742C">
        <w:rPr>
          <w:rFonts w:ascii="Arial" w:hAnsi="Arial" w:cs="Arial"/>
          <w:sz w:val="20"/>
          <w:szCs w:val="20"/>
          <w:lang w:val="en-AU"/>
        </w:rPr>
        <w:t>The authors would like to thank the Cystic Fibrosis Trust for the use of patient registry data to conduct this study.</w:t>
      </w:r>
      <w:r>
        <w:rPr>
          <w:rFonts w:ascii="Arial" w:hAnsi="Arial" w:cs="Arial"/>
          <w:sz w:val="20"/>
          <w:szCs w:val="20"/>
          <w:lang w:val="en-AU"/>
        </w:rPr>
        <w:t xml:space="preserve"> </w:t>
      </w:r>
      <w:r w:rsidRPr="00EF742C">
        <w:rPr>
          <w:rFonts w:ascii="Arial" w:hAnsi="Arial" w:cs="Arial"/>
          <w:sz w:val="20"/>
          <w:szCs w:val="20"/>
          <w:lang w:val="en-AU"/>
        </w:rPr>
        <w:t>The authors also thank the patients, care providers and clinic coordinators at CF centres throughout the</w:t>
      </w:r>
      <w:r w:rsidR="00E72866">
        <w:rPr>
          <w:rFonts w:ascii="Arial" w:hAnsi="Arial" w:cs="Arial"/>
          <w:sz w:val="20"/>
          <w:szCs w:val="20"/>
          <w:lang w:val="en-AU"/>
        </w:rPr>
        <w:t xml:space="preserve"> </w:t>
      </w:r>
      <w:r w:rsidRPr="00EF742C">
        <w:rPr>
          <w:rFonts w:ascii="Arial" w:hAnsi="Arial" w:cs="Arial"/>
          <w:sz w:val="20"/>
          <w:szCs w:val="20"/>
          <w:lang w:val="en-AU"/>
        </w:rPr>
        <w:t xml:space="preserve">UK for their contributions to the patient registries. </w:t>
      </w:r>
    </w:p>
    <w:p w14:paraId="21764F7F" w14:textId="77777777" w:rsidR="00E51B94" w:rsidRDefault="00E51B94" w:rsidP="00B36A3C">
      <w:pPr>
        <w:pStyle w:val="Heading1"/>
      </w:pPr>
      <w:r>
        <w:t xml:space="preserve">Data Statement </w:t>
      </w:r>
    </w:p>
    <w:p w14:paraId="52D47EE0" w14:textId="77777777" w:rsidR="00E51B94" w:rsidRPr="00C81210" w:rsidRDefault="00E51B94" w:rsidP="00E51B94">
      <w:pPr>
        <w:rPr>
          <w:rFonts w:ascii="Arial" w:hAnsi="Arial" w:cs="Arial"/>
          <w:b/>
          <w:sz w:val="20"/>
          <w:szCs w:val="20"/>
        </w:rPr>
      </w:pPr>
      <w:r w:rsidRPr="00EF742C">
        <w:rPr>
          <w:rFonts w:ascii="Arial" w:hAnsi="Arial" w:cs="Arial"/>
          <w:color w:val="2A2A2A"/>
          <w:sz w:val="20"/>
          <w:szCs w:val="20"/>
          <w:shd w:val="clear" w:color="auto" w:fill="FFFFFF"/>
        </w:rPr>
        <w:t xml:space="preserve">UK Registry Data are available following application to the UK CF Registry Research Committee. https://www.cysticfibrosis.org.uk/the-work-we-do/uk-cf-registry/apply-for-data-from-the-uk-cf-registry.  </w:t>
      </w:r>
    </w:p>
    <w:p w14:paraId="2FC9B649" w14:textId="77777777" w:rsidR="005058B6" w:rsidRPr="005058B6" w:rsidRDefault="005058B6" w:rsidP="005058B6">
      <w:pPr>
        <w:pStyle w:val="Heading1"/>
        <w:rPr>
          <w:rFonts w:eastAsia="Times New Roman"/>
          <w:lang w:eastAsia="en-GB"/>
        </w:rPr>
      </w:pPr>
      <w:r w:rsidRPr="005058B6">
        <w:rPr>
          <w:rFonts w:eastAsia="Times New Roman"/>
          <w:lang w:eastAsia="en-GB"/>
        </w:rPr>
        <w:t>Conflicts of Interest</w:t>
      </w:r>
    </w:p>
    <w:p w14:paraId="4C75BD1F" w14:textId="54985769" w:rsidR="000828D6" w:rsidRPr="00B066BD" w:rsidRDefault="005058B6" w:rsidP="00B066BD">
      <w:pPr>
        <w:rPr>
          <w:rFonts w:ascii="Arial" w:hAnsi="Arial" w:cs="Arial"/>
          <w:color w:val="000000"/>
          <w:sz w:val="20"/>
          <w:szCs w:val="20"/>
        </w:rPr>
      </w:pPr>
      <w:r w:rsidRPr="00B066BD">
        <w:rPr>
          <w:rFonts w:ascii="Arial" w:hAnsi="Arial" w:cs="Arial"/>
          <w:sz w:val="20"/>
          <w:szCs w:val="20"/>
          <w:lang w:eastAsia="en-GB"/>
        </w:rPr>
        <w:t>GD reports speaker honoraria from Vertex Pharmaceuticals and Chiesi Ltd, and advisory board and clinical trial leadership roles with Vertex, unrelated to the current manuscript.</w:t>
      </w:r>
      <w:r w:rsidR="00B066BD" w:rsidRPr="00B066BD">
        <w:rPr>
          <w:rFonts w:ascii="Arial" w:hAnsi="Arial" w:cs="Arial"/>
          <w:sz w:val="20"/>
          <w:szCs w:val="20"/>
          <w:lang w:eastAsia="en-GB"/>
        </w:rPr>
        <w:t xml:space="preserve"> </w:t>
      </w:r>
      <w:r w:rsidR="00B066BD" w:rsidRPr="00B066BD">
        <w:rPr>
          <w:rFonts w:ascii="Arial" w:hAnsi="Arial" w:cs="Arial"/>
          <w:color w:val="000000"/>
          <w:sz w:val="20"/>
          <w:szCs w:val="20"/>
        </w:rPr>
        <w:t>RHK reports a speaker honorarium from Vertex Pharmaceuticals. FF reports speaker honoraria from Chiesi Ltd, Vertex Pharmaceuticals.</w:t>
      </w:r>
      <w:r w:rsidR="00B066BD">
        <w:rPr>
          <w:rFonts w:ascii="Arial" w:hAnsi="Arial" w:cs="Arial"/>
          <w:color w:val="000000"/>
          <w:sz w:val="20"/>
          <w:szCs w:val="20"/>
        </w:rPr>
        <w:t xml:space="preserve"> </w:t>
      </w:r>
      <w:r w:rsidR="00B066BD" w:rsidRPr="00B066BD">
        <w:rPr>
          <w:rFonts w:ascii="Arial" w:hAnsi="Arial" w:cs="Arial"/>
          <w:color w:val="000000"/>
          <w:sz w:val="20"/>
          <w:szCs w:val="20"/>
        </w:rPr>
        <w:t>SLC and SCC have no personal conflicts. However, their institution (Cystic Fibrosis Services Ltd (CFSL)) has received funding from Vertex Pharmaceuticals Inc. and Chiesi Farmaceutici S.p.A.to provide data capture, statistical analysis, and reporting through the UK Cystic Fibrosis Registry. CFSL previously received funding from Teva Pharmaceuticals B.V. to conduct the long-term safety study of colistimethate sodium (Colobreathe®) through the UK Cystic Fibrosis Registry.</w:t>
      </w:r>
    </w:p>
    <w:p w14:paraId="0DBB8DDC" w14:textId="568F2470" w:rsidR="001F3750" w:rsidRPr="00C634F7" w:rsidRDefault="00E72866" w:rsidP="00B36A3C">
      <w:pPr>
        <w:pStyle w:val="Heading1"/>
        <w:rPr>
          <w:rFonts w:eastAsia="Times New Roman"/>
          <w:color w:val="auto"/>
          <w:lang w:eastAsia="en-GB"/>
        </w:rPr>
      </w:pPr>
      <w:r>
        <w:rPr>
          <w:rFonts w:eastAsia="Times New Roman"/>
          <w:lang w:eastAsia="en-GB"/>
        </w:rPr>
        <w:t>Funding</w:t>
      </w:r>
    </w:p>
    <w:p w14:paraId="19FE78E7" w14:textId="4590041A" w:rsidR="00E72866" w:rsidRPr="00B066BD" w:rsidRDefault="00E72866" w:rsidP="009E0411">
      <w:pPr>
        <w:rPr>
          <w:rFonts w:ascii="Arial" w:hAnsi="Arial" w:cs="Arial"/>
          <w:color w:val="000000"/>
          <w:sz w:val="20"/>
          <w:szCs w:val="20"/>
        </w:rPr>
      </w:pPr>
      <w:r>
        <w:rPr>
          <w:rFonts w:ascii="Arial" w:hAnsi="Arial" w:cs="Arial"/>
          <w:color w:val="000000" w:themeColor="text1"/>
          <w:sz w:val="20"/>
          <w:szCs w:val="20"/>
        </w:rPr>
        <w:t>This work is supported by an NIHR RfPB grant</w:t>
      </w:r>
      <w:r w:rsidR="0093688F">
        <w:rPr>
          <w:rFonts w:ascii="Arial" w:hAnsi="Arial" w:cs="Arial"/>
          <w:color w:val="000000" w:themeColor="text1"/>
          <w:sz w:val="20"/>
          <w:szCs w:val="20"/>
        </w:rPr>
        <w:t xml:space="preserve"> </w:t>
      </w:r>
      <w:r w:rsidR="00B066BD">
        <w:rPr>
          <w:rFonts w:ascii="Arial" w:hAnsi="Arial" w:cs="Arial"/>
          <w:color w:val="000000" w:themeColor="text1"/>
          <w:sz w:val="20"/>
          <w:szCs w:val="20"/>
        </w:rPr>
        <w:t>[</w:t>
      </w:r>
      <w:r w:rsidR="0093688F" w:rsidRPr="0093688F">
        <w:rPr>
          <w:rFonts w:ascii="Arial" w:hAnsi="Arial" w:cs="Arial"/>
          <w:color w:val="000000" w:themeColor="text1"/>
          <w:sz w:val="20"/>
          <w:szCs w:val="20"/>
        </w:rPr>
        <w:t>NIHR206915</w:t>
      </w:r>
      <w:r w:rsidR="00B066BD">
        <w:rPr>
          <w:rFonts w:ascii="Arial" w:hAnsi="Arial" w:cs="Arial"/>
          <w:color w:val="000000" w:themeColor="text1"/>
          <w:sz w:val="20"/>
          <w:szCs w:val="20"/>
        </w:rPr>
        <w:t>]</w:t>
      </w:r>
      <w:r w:rsidR="001B0988">
        <w:rPr>
          <w:rFonts w:ascii="Arial" w:hAnsi="Arial" w:cs="Arial"/>
          <w:color w:val="000000" w:themeColor="text1"/>
          <w:sz w:val="20"/>
          <w:szCs w:val="20"/>
        </w:rPr>
        <w:t>.</w:t>
      </w:r>
      <w:r w:rsidR="009E65F4">
        <w:rPr>
          <w:rFonts w:ascii="Arial" w:hAnsi="Arial" w:cs="Arial"/>
          <w:color w:val="000000" w:themeColor="text1"/>
          <w:sz w:val="20"/>
          <w:szCs w:val="20"/>
        </w:rPr>
        <w:t xml:space="preserve"> </w:t>
      </w:r>
      <w:r w:rsidR="00A164F9" w:rsidRPr="00A164F9">
        <w:rPr>
          <w:rFonts w:ascii="Arial" w:hAnsi="Arial" w:cs="Arial"/>
          <w:color w:val="000000" w:themeColor="text1"/>
          <w:sz w:val="20"/>
          <w:szCs w:val="20"/>
        </w:rPr>
        <w:t>GD is supported by a UKRI Future Leaders Fellowship [MR/T041285/1]</w:t>
      </w:r>
      <w:r w:rsidR="00B066BD">
        <w:rPr>
          <w:rFonts w:ascii="Arial" w:hAnsi="Arial" w:cs="Arial"/>
          <w:color w:val="000000" w:themeColor="text1"/>
          <w:sz w:val="20"/>
          <w:szCs w:val="20"/>
        </w:rPr>
        <w:t xml:space="preserve">. </w:t>
      </w:r>
      <w:r w:rsidR="00B066BD" w:rsidRPr="00AB78A9">
        <w:rPr>
          <w:rFonts w:ascii="Arial" w:hAnsi="Arial" w:cs="Arial"/>
          <w:color w:val="000000"/>
          <w:sz w:val="20"/>
          <w:szCs w:val="20"/>
        </w:rPr>
        <w:t xml:space="preserve">RHK </w:t>
      </w:r>
      <w:r w:rsidR="00B066BD">
        <w:rPr>
          <w:rFonts w:ascii="Arial" w:hAnsi="Arial" w:cs="Arial"/>
          <w:color w:val="000000"/>
          <w:sz w:val="20"/>
          <w:szCs w:val="20"/>
        </w:rPr>
        <w:t xml:space="preserve">is </w:t>
      </w:r>
      <w:r w:rsidR="00B066BD" w:rsidRPr="00AB78A9">
        <w:rPr>
          <w:rFonts w:ascii="Arial" w:hAnsi="Arial" w:cs="Arial"/>
          <w:color w:val="000000"/>
          <w:sz w:val="20"/>
          <w:szCs w:val="20"/>
        </w:rPr>
        <w:t xml:space="preserve">supported by a UKRI Future Leaders fellowship </w:t>
      </w:r>
      <w:r w:rsidR="00EE0D39">
        <w:rPr>
          <w:rFonts w:ascii="Arial" w:hAnsi="Arial" w:cs="Arial"/>
          <w:color w:val="000000"/>
          <w:sz w:val="20"/>
          <w:szCs w:val="20"/>
        </w:rPr>
        <w:t>[</w:t>
      </w:r>
      <w:r w:rsidR="00B066BD" w:rsidRPr="00AB78A9">
        <w:rPr>
          <w:rFonts w:ascii="Arial" w:hAnsi="Arial" w:cs="Arial"/>
          <w:color w:val="000000"/>
          <w:sz w:val="20"/>
          <w:szCs w:val="20"/>
        </w:rPr>
        <w:t>MR/S017968/1</w:t>
      </w:r>
      <w:r w:rsidR="00EE0D39">
        <w:rPr>
          <w:rFonts w:ascii="Arial" w:hAnsi="Arial" w:cs="Arial"/>
          <w:color w:val="000000"/>
          <w:sz w:val="20"/>
          <w:szCs w:val="20"/>
        </w:rPr>
        <w:t>]</w:t>
      </w:r>
      <w:r w:rsidR="00B066BD" w:rsidRPr="00AB78A9">
        <w:rPr>
          <w:rFonts w:ascii="Arial" w:hAnsi="Arial" w:cs="Arial"/>
          <w:color w:val="000000"/>
          <w:sz w:val="20"/>
          <w:szCs w:val="20"/>
        </w:rPr>
        <w:t xml:space="preserve"> awarded to RHK.</w:t>
      </w:r>
      <w:r w:rsidR="00B066BD" w:rsidRPr="00B066BD">
        <w:rPr>
          <w:rFonts w:ascii="Aptos" w:eastAsia="Times New Roman" w:hAnsi="Aptos" w:cs="Times New Roman"/>
          <w:kern w:val="0"/>
          <w:sz w:val="24"/>
          <w:szCs w:val="24"/>
          <w:lang w:eastAsia="en-GB"/>
          <w14:ligatures w14:val="none"/>
        </w:rPr>
        <w:t xml:space="preserve"> </w:t>
      </w:r>
      <w:r w:rsidR="00B066BD" w:rsidRPr="00B066BD">
        <w:rPr>
          <w:rFonts w:ascii="Arial" w:hAnsi="Arial" w:cs="Arial"/>
          <w:color w:val="000000"/>
          <w:sz w:val="20"/>
          <w:szCs w:val="20"/>
        </w:rPr>
        <w:t xml:space="preserve">LAT is funded by an NIHR Research Professorship </w:t>
      </w:r>
      <w:r w:rsidR="00B066BD">
        <w:rPr>
          <w:rFonts w:ascii="Arial" w:hAnsi="Arial" w:cs="Arial"/>
          <w:color w:val="000000"/>
          <w:sz w:val="20"/>
          <w:szCs w:val="20"/>
        </w:rPr>
        <w:t>[</w:t>
      </w:r>
      <w:r w:rsidR="00B066BD" w:rsidRPr="00B066BD">
        <w:rPr>
          <w:rFonts w:ascii="Arial" w:hAnsi="Arial" w:cs="Arial"/>
          <w:color w:val="000000"/>
          <w:sz w:val="20"/>
          <w:szCs w:val="20"/>
        </w:rPr>
        <w:t>NIHR302405</w:t>
      </w:r>
      <w:r w:rsidR="00B066BD">
        <w:rPr>
          <w:rFonts w:ascii="Arial" w:hAnsi="Arial" w:cs="Arial"/>
          <w:color w:val="000000"/>
          <w:sz w:val="20"/>
          <w:szCs w:val="20"/>
        </w:rPr>
        <w:t>]</w:t>
      </w:r>
      <w:r w:rsidR="00B066BD" w:rsidRPr="00B066BD">
        <w:rPr>
          <w:rFonts w:ascii="Arial" w:hAnsi="Arial" w:cs="Arial"/>
          <w:color w:val="000000"/>
          <w:sz w:val="20"/>
          <w:szCs w:val="20"/>
        </w:rPr>
        <w:t>.</w:t>
      </w:r>
    </w:p>
    <w:p w14:paraId="7DDE0590" w14:textId="2086BE83" w:rsidR="00352A74" w:rsidRDefault="002E3867" w:rsidP="00B36A3C">
      <w:pPr>
        <w:pStyle w:val="Heading1"/>
      </w:pPr>
      <w:r>
        <w:t>References</w:t>
      </w:r>
    </w:p>
    <w:p w14:paraId="393879A7" w14:textId="0E259483" w:rsidR="00D25DA1" w:rsidRPr="00E121B0" w:rsidRDefault="00D25DA1" w:rsidP="00D25DA1">
      <w:pPr>
        <w:rPr>
          <w:rFonts w:ascii="Arial" w:hAnsi="Arial" w:cs="Arial"/>
          <w:b/>
          <w:bCs/>
          <w:sz w:val="20"/>
          <w:szCs w:val="20"/>
        </w:rPr>
      </w:pPr>
      <w:r w:rsidRPr="00E121B0">
        <w:rPr>
          <w:rFonts w:ascii="Arial" w:hAnsi="Arial" w:cs="Arial"/>
          <w:sz w:val="20"/>
          <w:szCs w:val="20"/>
        </w:rPr>
        <w:t>[1]</w:t>
      </w:r>
      <w:r w:rsidRPr="00E121B0">
        <w:rPr>
          <w:rFonts w:ascii="Arial" w:hAnsi="Arial" w:cs="Arial"/>
          <w:color w:val="212121"/>
          <w:sz w:val="20"/>
          <w:szCs w:val="20"/>
          <w:shd w:val="clear" w:color="auto" w:fill="FFFFFF"/>
        </w:rPr>
        <w:t xml:space="preserve"> Hernán MA, Robins JM. Using Big Data to Emulate a Target Trial When a Randomized Trial Is Not Available. Am J Epidemiol. 2016 Apr 15;183(8):758-64.</w:t>
      </w:r>
    </w:p>
    <w:p w14:paraId="424C1C92" w14:textId="77777777" w:rsidR="004511D1" w:rsidRPr="00E121B0" w:rsidRDefault="004511D1" w:rsidP="00D25DA1">
      <w:pPr>
        <w:rPr>
          <w:rFonts w:ascii="Arial" w:hAnsi="Arial" w:cs="Arial"/>
          <w:sz w:val="20"/>
          <w:szCs w:val="20"/>
        </w:rPr>
      </w:pPr>
      <w:r w:rsidRPr="00E121B0">
        <w:rPr>
          <w:rFonts w:ascii="Arial" w:hAnsi="Arial" w:cs="Arial"/>
          <w:sz w:val="20"/>
          <w:szCs w:val="20"/>
        </w:rPr>
        <w:t xml:space="preserve">[2] Hernán MA, Sauer BC, Hernández-Díaz S, Platt R, Shrier I. Specifying a target trial prevents immortal time bias and other self-inflicted injuries in observational analyses. J Clin Epidemiol 2016;79:70-75. DOI:10.1016/j.jclinepi.2016.04.014 9. </w:t>
      </w:r>
    </w:p>
    <w:p w14:paraId="15355F2A" w14:textId="284F3259" w:rsidR="00D25DA1" w:rsidRPr="00E121B0" w:rsidRDefault="004511D1" w:rsidP="00D25DA1">
      <w:pPr>
        <w:rPr>
          <w:rFonts w:ascii="Arial" w:hAnsi="Arial" w:cs="Arial"/>
          <w:sz w:val="20"/>
          <w:szCs w:val="20"/>
        </w:rPr>
      </w:pPr>
      <w:r w:rsidRPr="00E121B0">
        <w:rPr>
          <w:rFonts w:ascii="Arial" w:hAnsi="Arial" w:cs="Arial"/>
          <w:sz w:val="20"/>
          <w:szCs w:val="20"/>
        </w:rPr>
        <w:t>[3] Dickerman BA, García-Albéniz X, Logan RW, Denaxas S, Hernán MA. Avoidable flaws in observational analyses: an application to statins and cancer. Nat Med. 2019;25(10):1601-1606. DOI:10.1038/s41591-019-0597-x</w:t>
      </w:r>
    </w:p>
    <w:p w14:paraId="71856178" w14:textId="1A838181" w:rsidR="00C43ED5" w:rsidRPr="00E121B0" w:rsidRDefault="00C43ED5" w:rsidP="00C43ED5">
      <w:pPr>
        <w:shd w:val="clear" w:color="auto" w:fill="FFFFFF"/>
        <w:spacing w:after="200"/>
        <w:rPr>
          <w:rFonts w:ascii="Arial" w:hAnsi="Arial" w:cs="Arial"/>
          <w:sz w:val="20"/>
          <w:szCs w:val="20"/>
        </w:rPr>
      </w:pPr>
      <w:r w:rsidRPr="00E121B0">
        <w:rPr>
          <w:rFonts w:ascii="Arial" w:hAnsi="Arial" w:cs="Arial"/>
          <w:sz w:val="20"/>
          <w:szCs w:val="20"/>
          <w:shd w:val="clear" w:color="auto" w:fill="FFFFFF"/>
        </w:rPr>
        <w:t xml:space="preserve">[4] </w:t>
      </w:r>
      <w:r w:rsidRPr="00E121B0">
        <w:rPr>
          <w:rFonts w:ascii="Arial" w:hAnsi="Arial" w:cs="Arial"/>
          <w:sz w:val="20"/>
          <w:szCs w:val="20"/>
        </w:rPr>
        <w:t xml:space="preserve">Wing K, Williamson E, Carpenter JR, et al. Real world effects of COPD medications: a cohort study with validation against results from randomised controlled trials. </w:t>
      </w:r>
      <w:hyperlink r:id="rId8" w:history="1">
        <w:r w:rsidRPr="00E121B0">
          <w:rPr>
            <w:rStyle w:val="Hyperlink"/>
            <w:rFonts w:ascii="Arial" w:hAnsi="Arial" w:cs="Arial"/>
            <w:sz w:val="20"/>
            <w:szCs w:val="20"/>
            <w:highlight w:val="white"/>
          </w:rPr>
          <w:t>Eur Respir J.</w:t>
        </w:r>
      </w:hyperlink>
      <w:r w:rsidRPr="00E121B0">
        <w:rPr>
          <w:rFonts w:ascii="Arial" w:hAnsi="Arial" w:cs="Arial"/>
          <w:sz w:val="20"/>
          <w:szCs w:val="20"/>
          <w:highlight w:val="white"/>
        </w:rPr>
        <w:t xml:space="preserve"> 2021 Mar; 57(3): 2001586. doi: </w:t>
      </w:r>
      <w:hyperlink r:id="rId9" w:history="1">
        <w:r w:rsidRPr="00E121B0">
          <w:rPr>
            <w:rStyle w:val="Hyperlink"/>
            <w:rFonts w:ascii="Arial" w:hAnsi="Arial" w:cs="Arial"/>
            <w:sz w:val="20"/>
            <w:szCs w:val="20"/>
            <w:highlight w:val="white"/>
          </w:rPr>
          <w:t>10.1183/13993003.01586-2020</w:t>
        </w:r>
      </w:hyperlink>
    </w:p>
    <w:p w14:paraId="24F93919" w14:textId="5EF99A4D" w:rsidR="00C43ED5" w:rsidRPr="00E121B0" w:rsidRDefault="00C43ED5" w:rsidP="00C43ED5">
      <w:pPr>
        <w:spacing w:before="240" w:after="240"/>
        <w:rPr>
          <w:rFonts w:ascii="Arial" w:hAnsi="Arial" w:cs="Arial"/>
          <w:sz w:val="20"/>
          <w:szCs w:val="20"/>
          <w:highlight w:val="white"/>
        </w:rPr>
      </w:pPr>
      <w:r w:rsidRPr="00E121B0">
        <w:rPr>
          <w:rFonts w:ascii="Arial" w:hAnsi="Arial" w:cs="Arial"/>
          <w:sz w:val="20"/>
          <w:szCs w:val="20"/>
          <w:shd w:val="clear" w:color="auto" w:fill="FFFFFF"/>
        </w:rPr>
        <w:t xml:space="preserve">[5] </w:t>
      </w:r>
      <w:r w:rsidRPr="00E121B0">
        <w:rPr>
          <w:rFonts w:ascii="Arial" w:hAnsi="Arial" w:cs="Arial"/>
          <w:sz w:val="20"/>
          <w:szCs w:val="20"/>
          <w:highlight w:val="white"/>
        </w:rPr>
        <w:t>Fu EL, Evans M, Clase CM, et al. Stopping Renin-Angiotensin System Inhibitors in Patients with Advanced CKD and Risk of Adverse Outc</w:t>
      </w:r>
      <w:r w:rsidRPr="00E121B0">
        <w:rPr>
          <w:rFonts w:ascii="Arial" w:hAnsi="Arial" w:cs="Arial"/>
          <w:sz w:val="20"/>
          <w:szCs w:val="20"/>
        </w:rPr>
        <w:t>omes: A Nationwide Study. J Am Soc Nephrol 2021 Feb;32(2):424-435</w:t>
      </w:r>
    </w:p>
    <w:p w14:paraId="08103B58" w14:textId="50B93A7C" w:rsidR="00C43ED5" w:rsidRPr="00E121B0" w:rsidRDefault="00C43ED5" w:rsidP="00C43ED5">
      <w:pPr>
        <w:spacing w:before="240" w:after="240"/>
        <w:rPr>
          <w:rFonts w:ascii="Arial" w:hAnsi="Arial" w:cs="Arial"/>
          <w:sz w:val="20"/>
          <w:szCs w:val="20"/>
          <w:highlight w:val="white"/>
        </w:rPr>
      </w:pPr>
      <w:r w:rsidRPr="00E121B0">
        <w:rPr>
          <w:rFonts w:ascii="Arial" w:hAnsi="Arial" w:cs="Arial"/>
          <w:sz w:val="20"/>
          <w:szCs w:val="20"/>
          <w:shd w:val="clear" w:color="auto" w:fill="FFFFFF"/>
        </w:rPr>
        <w:t xml:space="preserve">[6] </w:t>
      </w:r>
      <w:r w:rsidRPr="00E121B0">
        <w:rPr>
          <w:rFonts w:ascii="Arial" w:hAnsi="Arial" w:cs="Arial"/>
          <w:sz w:val="20"/>
          <w:szCs w:val="20"/>
        </w:rPr>
        <w:t>Cain SE, Saag MS,Petersen M, et al. Using observational data to emulate a randomized trial of dynamic treatment-switching strategies: an application to antiretroviral therapy. Int J Epidemiol. 2016 Dec 1;45(6):2038-2049</w:t>
      </w:r>
    </w:p>
    <w:p w14:paraId="71C1487A" w14:textId="06737E8C" w:rsidR="00C43ED5" w:rsidRPr="00E121B0" w:rsidRDefault="00C43ED5" w:rsidP="00C43ED5">
      <w:pPr>
        <w:rPr>
          <w:rFonts w:ascii="Arial" w:hAnsi="Arial" w:cs="Arial"/>
          <w:color w:val="333333"/>
          <w:sz w:val="20"/>
          <w:szCs w:val="20"/>
          <w:shd w:val="clear" w:color="auto" w:fill="FCFCFC"/>
        </w:rPr>
      </w:pPr>
      <w:r w:rsidRPr="00E121B0">
        <w:rPr>
          <w:rFonts w:ascii="Arial" w:hAnsi="Arial" w:cs="Arial"/>
          <w:sz w:val="20"/>
          <w:szCs w:val="20"/>
        </w:rPr>
        <w:lastRenderedPageBreak/>
        <w:t xml:space="preserve">[7] </w:t>
      </w:r>
      <w:r w:rsidRPr="00E121B0">
        <w:rPr>
          <w:rFonts w:ascii="Arial" w:hAnsi="Arial" w:cs="Arial"/>
          <w:color w:val="333333"/>
          <w:sz w:val="20"/>
          <w:szCs w:val="20"/>
          <w:shd w:val="clear" w:color="auto" w:fill="FCFCFC"/>
        </w:rPr>
        <w:t>García-Albéniz X, Hsu J, Hernán MA. The value of explicitly emulating a target trial when using real world evidence: an application to colorectal cancer screening. </w:t>
      </w:r>
      <w:r w:rsidRPr="00E121B0">
        <w:rPr>
          <w:rFonts w:ascii="Arial" w:hAnsi="Arial" w:cs="Arial"/>
          <w:i/>
          <w:iCs/>
          <w:color w:val="333333"/>
          <w:sz w:val="20"/>
          <w:szCs w:val="20"/>
          <w:shd w:val="clear" w:color="auto" w:fill="FCFCFC"/>
        </w:rPr>
        <w:t xml:space="preserve">Eur J Epidemiol. </w:t>
      </w:r>
      <w:r w:rsidRPr="00E121B0">
        <w:rPr>
          <w:rFonts w:ascii="Arial" w:hAnsi="Arial" w:cs="Arial"/>
          <w:color w:val="333333"/>
          <w:sz w:val="20"/>
          <w:szCs w:val="20"/>
          <w:shd w:val="clear" w:color="auto" w:fill="FCFCFC"/>
        </w:rPr>
        <w:t xml:space="preserve">2017;32:495–500. </w:t>
      </w:r>
    </w:p>
    <w:p w14:paraId="1F06624A" w14:textId="4CB59AB9" w:rsidR="00C43ED5" w:rsidRPr="00E121B0" w:rsidRDefault="00C43ED5" w:rsidP="00C43ED5">
      <w:pPr>
        <w:rPr>
          <w:rFonts w:ascii="Arial" w:hAnsi="Arial" w:cs="Arial"/>
          <w:color w:val="212121"/>
          <w:sz w:val="20"/>
          <w:szCs w:val="20"/>
          <w:shd w:val="clear" w:color="auto" w:fill="FFFFFF"/>
        </w:rPr>
      </w:pPr>
      <w:r w:rsidRPr="00E121B0">
        <w:rPr>
          <w:rFonts w:ascii="Arial" w:hAnsi="Arial" w:cs="Arial"/>
          <w:color w:val="333333"/>
          <w:sz w:val="20"/>
          <w:szCs w:val="20"/>
          <w:shd w:val="clear" w:color="auto" w:fill="FCFCFC"/>
        </w:rPr>
        <w:t xml:space="preserve">[8] </w:t>
      </w:r>
      <w:r w:rsidRPr="00E121B0">
        <w:rPr>
          <w:rFonts w:ascii="Arial" w:hAnsi="Arial" w:cs="Arial"/>
          <w:color w:val="000000"/>
          <w:sz w:val="20"/>
          <w:szCs w:val="20"/>
        </w:rPr>
        <w:t>Trevisan M, Fu EL, Yang X, et al. Stopping mineralocorticoid receptor antagonists after hyperkalaemia: trial emulation in data from routine care. European Journal of Heart Failure 2021; 10: 1698-1707. doi.org/10.1002/ejhf.2287</w:t>
      </w:r>
    </w:p>
    <w:p w14:paraId="52F56EFF" w14:textId="34BA4E71" w:rsidR="00C43ED5" w:rsidRPr="00E121B0" w:rsidRDefault="00C43ED5" w:rsidP="00C43ED5">
      <w:pPr>
        <w:rPr>
          <w:rFonts w:ascii="Arial" w:hAnsi="Arial" w:cs="Arial"/>
          <w:color w:val="212121"/>
          <w:sz w:val="20"/>
          <w:szCs w:val="20"/>
          <w:shd w:val="clear" w:color="auto" w:fill="FFFFFF"/>
        </w:rPr>
      </w:pPr>
      <w:r w:rsidRPr="00E121B0">
        <w:rPr>
          <w:rFonts w:ascii="Arial" w:hAnsi="Arial" w:cs="Arial"/>
          <w:color w:val="212121"/>
          <w:sz w:val="20"/>
          <w:szCs w:val="20"/>
          <w:shd w:val="clear" w:color="auto" w:fill="FFFFFF"/>
        </w:rPr>
        <w:t xml:space="preserve">[9] Ioannou GN, Locke ER, O'Hare AM, Bohnert ASB, Boyko EJ, Hynes DM, Berry K. COVID-19 Vaccination Effectiveness Against Infection or Death in a National U.S. Health Care System: A Target Trial Emulation Study. </w:t>
      </w:r>
      <w:r w:rsidRPr="00E121B0">
        <w:rPr>
          <w:rFonts w:ascii="Arial" w:hAnsi="Arial" w:cs="Arial"/>
          <w:i/>
          <w:iCs/>
          <w:color w:val="212121"/>
          <w:sz w:val="20"/>
          <w:szCs w:val="20"/>
          <w:shd w:val="clear" w:color="auto" w:fill="FFFFFF"/>
        </w:rPr>
        <w:t>Ann Intern Med</w:t>
      </w:r>
      <w:r w:rsidRPr="00E121B0">
        <w:rPr>
          <w:rFonts w:ascii="Arial" w:hAnsi="Arial" w:cs="Arial"/>
          <w:color w:val="212121"/>
          <w:sz w:val="20"/>
          <w:szCs w:val="20"/>
          <w:shd w:val="clear" w:color="auto" w:fill="FFFFFF"/>
        </w:rPr>
        <w:t>. 2022;175(3):352-361.</w:t>
      </w:r>
    </w:p>
    <w:p w14:paraId="778E8723" w14:textId="6BFD938F" w:rsidR="006F142B" w:rsidRPr="00E121B0" w:rsidRDefault="006F142B" w:rsidP="00C43ED5">
      <w:pPr>
        <w:rPr>
          <w:rFonts w:ascii="Arial" w:hAnsi="Arial" w:cs="Arial"/>
          <w:color w:val="212121"/>
          <w:sz w:val="20"/>
          <w:szCs w:val="20"/>
          <w:shd w:val="clear" w:color="auto" w:fill="FFFFFF"/>
        </w:rPr>
      </w:pPr>
      <w:r w:rsidRPr="00E121B0">
        <w:rPr>
          <w:rFonts w:ascii="Arial" w:hAnsi="Arial" w:cs="Arial"/>
          <w:color w:val="212121"/>
          <w:sz w:val="20"/>
          <w:szCs w:val="20"/>
          <w:shd w:val="clear" w:color="auto" w:fill="FFFFFF"/>
        </w:rPr>
        <w:t>[10] National Institute for Health and Care Excellence (NICE). NICE real world evidence framework (ECD9) 2022. Available at: https://rb.gy/9vxl6 [Accessed 15:52 11/09/2023].</w:t>
      </w:r>
    </w:p>
    <w:p w14:paraId="67F2C9E9" w14:textId="1781791A" w:rsidR="0041372B" w:rsidRPr="00E121B0" w:rsidRDefault="0041372B" w:rsidP="00C43ED5">
      <w:pPr>
        <w:rPr>
          <w:rFonts w:ascii="Arial" w:hAnsi="Arial" w:cs="Arial"/>
          <w:color w:val="212121"/>
          <w:sz w:val="20"/>
          <w:szCs w:val="20"/>
          <w:shd w:val="clear" w:color="auto" w:fill="FFFFFF"/>
        </w:rPr>
      </w:pPr>
      <w:r w:rsidRPr="00E121B0">
        <w:rPr>
          <w:rFonts w:ascii="Arial" w:hAnsi="Arial" w:cs="Arial"/>
          <w:color w:val="212121"/>
          <w:sz w:val="20"/>
          <w:szCs w:val="20"/>
          <w:shd w:val="clear" w:color="auto" w:fill="FFFFFF"/>
        </w:rPr>
        <w:t xml:space="preserve">[11] Davies G, Keogh RH; Cystic Fibrosis Trial Emulation Network. Trial emulation with observational data in cystic fibrosis. Lancet Respir Med. 2023 Oct;11(10):859-861. doi: 10.1016/S2213-2600(23)00328-4. </w:t>
      </w:r>
    </w:p>
    <w:p w14:paraId="3A6AF565" w14:textId="57F0F471" w:rsidR="0041372B" w:rsidRPr="00E121B0" w:rsidRDefault="0041372B" w:rsidP="00C43ED5">
      <w:pPr>
        <w:rPr>
          <w:rFonts w:ascii="Arial" w:hAnsi="Arial" w:cs="Arial"/>
          <w:color w:val="212121"/>
          <w:sz w:val="20"/>
          <w:szCs w:val="20"/>
          <w:shd w:val="clear" w:color="auto" w:fill="FFFFFF"/>
        </w:rPr>
      </w:pPr>
      <w:r w:rsidRPr="00E121B0">
        <w:rPr>
          <w:rFonts w:ascii="Arial" w:hAnsi="Arial" w:cs="Arial"/>
          <w:color w:val="212121"/>
          <w:sz w:val="20"/>
          <w:szCs w:val="20"/>
          <w:shd w:val="clear" w:color="auto" w:fill="FFFFFF"/>
        </w:rPr>
        <w:t>[12] Taylor-Robinson D, Archangelidi O, Carr SB, Cosgriff R, Gunn E, Keogh RH, MacDougall A, Newsome S, Schlüter DK, Stanojevic S, Bilton D; CF-EpinNet collaboration. Data Resource Profile: The UK Cystic Fibrosis Registry. Int J Epidemiol. 2018 Feb 1;47(1):9-10e.</w:t>
      </w:r>
    </w:p>
    <w:p w14:paraId="6A87ECB2" w14:textId="5C1E42D8" w:rsidR="006F142B" w:rsidRPr="00E121B0" w:rsidRDefault="006F142B" w:rsidP="006F142B">
      <w:pPr>
        <w:rPr>
          <w:rFonts w:ascii="Arial" w:hAnsi="Arial" w:cs="Arial"/>
          <w:color w:val="212121"/>
          <w:sz w:val="20"/>
          <w:szCs w:val="20"/>
          <w:shd w:val="clear" w:color="auto" w:fill="FFFFFF"/>
        </w:rPr>
      </w:pPr>
      <w:r w:rsidRPr="00E121B0">
        <w:rPr>
          <w:rStyle w:val="cf01"/>
          <w:rFonts w:ascii="Arial" w:hAnsi="Arial" w:cs="Arial"/>
          <w:sz w:val="20"/>
          <w:szCs w:val="20"/>
        </w:rPr>
        <w:t>[1</w:t>
      </w:r>
      <w:r w:rsidR="0041372B" w:rsidRPr="00E121B0">
        <w:rPr>
          <w:rStyle w:val="cf01"/>
          <w:rFonts w:ascii="Arial" w:hAnsi="Arial" w:cs="Arial"/>
          <w:sz w:val="20"/>
          <w:szCs w:val="20"/>
        </w:rPr>
        <w:t>3</w:t>
      </w:r>
      <w:r w:rsidRPr="00E121B0">
        <w:rPr>
          <w:rStyle w:val="cf01"/>
          <w:rFonts w:ascii="Arial" w:hAnsi="Arial" w:cs="Arial"/>
          <w:sz w:val="20"/>
          <w:szCs w:val="20"/>
        </w:rPr>
        <w:t xml:space="preserve">] </w:t>
      </w:r>
      <w:r w:rsidRPr="00E121B0">
        <w:rPr>
          <w:rFonts w:ascii="Arial" w:hAnsi="Arial" w:cs="Arial"/>
          <w:color w:val="212121"/>
          <w:sz w:val="20"/>
          <w:szCs w:val="20"/>
          <w:shd w:val="clear" w:color="auto" w:fill="FFFFFF"/>
        </w:rPr>
        <w:t>Granger E, Keogh RH, Frost F. The long-term effects of insulin use in incident cystic fibrosis-related diabetes: a target trial emulated using longitudinal national registry data. ERJ Open Res. 2022 Nov 7;8(4):00170-2022.</w:t>
      </w:r>
    </w:p>
    <w:p w14:paraId="7B906770" w14:textId="1CAA6BD6" w:rsidR="006F142B" w:rsidRPr="00E121B0" w:rsidRDefault="006F142B" w:rsidP="006F142B">
      <w:pPr>
        <w:rPr>
          <w:rFonts w:ascii="Arial" w:hAnsi="Arial" w:cs="Arial"/>
          <w:b/>
          <w:bCs/>
          <w:color w:val="212121"/>
          <w:sz w:val="20"/>
          <w:szCs w:val="20"/>
          <w:shd w:val="clear" w:color="auto" w:fill="FFFFFF"/>
        </w:rPr>
      </w:pPr>
      <w:r w:rsidRPr="00E121B0">
        <w:rPr>
          <w:rFonts w:ascii="Arial" w:hAnsi="Arial" w:cs="Arial"/>
          <w:color w:val="212121"/>
          <w:sz w:val="20"/>
          <w:szCs w:val="20"/>
          <w:shd w:val="clear" w:color="auto" w:fill="FFFFFF"/>
        </w:rPr>
        <w:t>[1</w:t>
      </w:r>
      <w:r w:rsidR="0041372B" w:rsidRPr="00E121B0">
        <w:rPr>
          <w:rFonts w:ascii="Arial" w:hAnsi="Arial" w:cs="Arial"/>
          <w:color w:val="212121"/>
          <w:sz w:val="20"/>
          <w:szCs w:val="20"/>
          <w:shd w:val="clear" w:color="auto" w:fill="FFFFFF"/>
        </w:rPr>
        <w:t>4</w:t>
      </w:r>
      <w:r w:rsidRPr="00E121B0">
        <w:rPr>
          <w:rFonts w:ascii="Arial" w:hAnsi="Arial" w:cs="Arial"/>
          <w:color w:val="212121"/>
          <w:sz w:val="20"/>
          <w:szCs w:val="20"/>
          <w:shd w:val="clear" w:color="auto" w:fill="FFFFFF"/>
        </w:rPr>
        <w:t>] Granger E, Davies G, Keogh RH. Emulated trial investigating effects of multiple treatments: estimating combined effects of mucoactive nebulisers in cystic fibrosis using registry data. Thorax. 2023 Oct;78(10):1011-1018.</w:t>
      </w:r>
    </w:p>
    <w:p w14:paraId="7F17B35E" w14:textId="31B7C274" w:rsidR="00F5645E" w:rsidRPr="00E121B0" w:rsidRDefault="00F5645E" w:rsidP="00F5645E">
      <w:pPr>
        <w:rPr>
          <w:rFonts w:ascii="Arial" w:hAnsi="Arial" w:cs="Arial"/>
          <w:sz w:val="20"/>
          <w:szCs w:val="20"/>
        </w:rPr>
      </w:pPr>
      <w:r w:rsidRPr="00E121B0">
        <w:rPr>
          <w:rFonts w:ascii="Arial" w:hAnsi="Arial" w:cs="Arial"/>
          <w:sz w:val="20"/>
          <w:szCs w:val="20"/>
        </w:rPr>
        <w:t>[1</w:t>
      </w:r>
      <w:r w:rsidR="0041372B" w:rsidRPr="00E121B0">
        <w:rPr>
          <w:rFonts w:ascii="Arial" w:hAnsi="Arial" w:cs="Arial"/>
          <w:sz w:val="20"/>
          <w:szCs w:val="20"/>
        </w:rPr>
        <w:t>5</w:t>
      </w:r>
      <w:r w:rsidRPr="00E121B0">
        <w:rPr>
          <w:rFonts w:ascii="Arial" w:hAnsi="Arial" w:cs="Arial"/>
          <w:sz w:val="20"/>
          <w:szCs w:val="20"/>
        </w:rPr>
        <w:t>]</w:t>
      </w:r>
      <w:r w:rsidR="0041372B" w:rsidRPr="00E121B0">
        <w:rPr>
          <w:rFonts w:ascii="Arial" w:hAnsi="Arial" w:cs="Arial"/>
          <w:sz w:val="20"/>
          <w:szCs w:val="20"/>
        </w:rPr>
        <w:t xml:space="preserve"> Keogh RH, Gran JM, Seaman SR, Davies G, Vansteelandt S. Causal inference in survival analysis using longitudinal observational data: Sequential trials and marginal structural models. Stat Med. 2023 Jun 15;42(13):2191-2225. doi: 10.1002/sim.9718. </w:t>
      </w:r>
    </w:p>
    <w:p w14:paraId="1ED89C95" w14:textId="76615861" w:rsidR="00D6569C" w:rsidRPr="00E121B0" w:rsidRDefault="00D6569C" w:rsidP="00F5645E">
      <w:pPr>
        <w:rPr>
          <w:rFonts w:ascii="Arial" w:hAnsi="Arial" w:cs="Arial"/>
          <w:sz w:val="20"/>
          <w:szCs w:val="20"/>
        </w:rPr>
      </w:pPr>
      <w:r w:rsidRPr="00E121B0">
        <w:rPr>
          <w:rFonts w:ascii="Arial" w:hAnsi="Arial" w:cs="Arial"/>
          <w:sz w:val="20"/>
          <w:szCs w:val="20"/>
        </w:rPr>
        <w:t xml:space="preserve">[16] Matthews AA, Dahabreh IJ, Fröbert O, Lindahl B, James S, Feychting M, Jernberg T, Berglund A, Hernán MA. Benchmarking Observational Analyses Before Using Them to Address Questions Trials Do Not Answer: An Application to Coronary Thrombus Aspiration. Am J Epidemiol. 2022 Aug 22;191(9):1652-1665. doi: 10.1093/aje/kwac098. </w:t>
      </w:r>
    </w:p>
    <w:p w14:paraId="003FBBCE" w14:textId="04A60D05" w:rsidR="00D6569C" w:rsidRPr="00E121B0" w:rsidRDefault="00D6569C" w:rsidP="00F5645E">
      <w:pPr>
        <w:rPr>
          <w:rFonts w:ascii="Arial" w:hAnsi="Arial" w:cs="Arial"/>
          <w:color w:val="212121"/>
          <w:sz w:val="20"/>
          <w:szCs w:val="20"/>
          <w:shd w:val="clear" w:color="auto" w:fill="FFFFFF"/>
        </w:rPr>
      </w:pPr>
      <w:r w:rsidRPr="00E121B0">
        <w:rPr>
          <w:rFonts w:ascii="Arial" w:hAnsi="Arial" w:cs="Arial"/>
          <w:sz w:val="20"/>
          <w:szCs w:val="20"/>
        </w:rPr>
        <w:t xml:space="preserve">[17] Dahabreh IJ, Matthews A, Steingrimsson JA, Scharfstein DO, Stuart EA. Using Trial and Observational Data to Assess Effectiveness: Trial Emulation, Transportability, Benchmarking, and Joint Analysis. Epidemiol Rev. 2024 Dec 16;46(1):1-16. doi: 10.1093/epirev/mxac011. </w:t>
      </w:r>
    </w:p>
    <w:p w14:paraId="0B23CE55" w14:textId="5C6E08CA" w:rsidR="002E3867" w:rsidRPr="00E121B0" w:rsidRDefault="0037611B" w:rsidP="00352A74">
      <w:pPr>
        <w:rPr>
          <w:rFonts w:ascii="Arial" w:hAnsi="Arial" w:cs="Arial"/>
          <w:sz w:val="20"/>
          <w:szCs w:val="20"/>
        </w:rPr>
      </w:pPr>
      <w:r w:rsidRPr="00E121B0">
        <w:rPr>
          <w:rFonts w:ascii="Arial" w:hAnsi="Arial" w:cs="Arial"/>
          <w:sz w:val="20"/>
          <w:szCs w:val="20"/>
        </w:rPr>
        <w:t>[1</w:t>
      </w:r>
      <w:r w:rsidR="00D6569C" w:rsidRPr="00E121B0">
        <w:rPr>
          <w:rFonts w:ascii="Arial" w:hAnsi="Arial" w:cs="Arial"/>
          <w:sz w:val="20"/>
          <w:szCs w:val="20"/>
        </w:rPr>
        <w:t>8</w:t>
      </w:r>
      <w:r w:rsidRPr="00E121B0">
        <w:rPr>
          <w:rFonts w:ascii="Arial" w:hAnsi="Arial" w:cs="Arial"/>
          <w:sz w:val="20"/>
          <w:szCs w:val="20"/>
        </w:rPr>
        <w:t xml:space="preserve">] </w:t>
      </w:r>
      <w:r w:rsidR="009768B3" w:rsidRPr="00E121B0">
        <w:rPr>
          <w:rFonts w:ascii="Arial" w:hAnsi="Arial" w:cs="Arial"/>
          <w:sz w:val="20"/>
          <w:szCs w:val="20"/>
        </w:rPr>
        <w:t>Assael BM et al; AZLI Active Comparator Study Group. Inhaled aztreonam lysine vs. inhaled tobramycin in cystic fibrosis: a comparative efficacy trial. J Cyst Fibros. 2013 Mar;12(2):130-40</w:t>
      </w:r>
    </w:p>
    <w:p w14:paraId="0943A504" w14:textId="2B463219" w:rsidR="009768B3" w:rsidRPr="00E121B0" w:rsidRDefault="0037611B" w:rsidP="00352A74">
      <w:pPr>
        <w:rPr>
          <w:rFonts w:ascii="Arial" w:hAnsi="Arial" w:cs="Arial"/>
          <w:sz w:val="20"/>
          <w:szCs w:val="20"/>
        </w:rPr>
      </w:pPr>
      <w:r w:rsidRPr="00E121B0">
        <w:rPr>
          <w:rFonts w:ascii="Arial" w:hAnsi="Arial" w:cs="Arial"/>
          <w:sz w:val="20"/>
          <w:szCs w:val="20"/>
        </w:rPr>
        <w:t>[1</w:t>
      </w:r>
      <w:r w:rsidR="00D6569C" w:rsidRPr="00E121B0">
        <w:rPr>
          <w:rFonts w:ascii="Arial" w:hAnsi="Arial" w:cs="Arial"/>
          <w:sz w:val="20"/>
          <w:szCs w:val="20"/>
        </w:rPr>
        <w:t>9</w:t>
      </w:r>
      <w:r w:rsidRPr="00E121B0">
        <w:rPr>
          <w:rFonts w:ascii="Arial" w:hAnsi="Arial" w:cs="Arial"/>
          <w:sz w:val="20"/>
          <w:szCs w:val="20"/>
        </w:rPr>
        <w:t xml:space="preserve">] </w:t>
      </w:r>
      <w:r w:rsidR="00543EAA" w:rsidRPr="00E121B0">
        <w:rPr>
          <w:rFonts w:ascii="Arial" w:hAnsi="Arial" w:cs="Arial"/>
          <w:sz w:val="20"/>
          <w:szCs w:val="20"/>
        </w:rPr>
        <w:t>Schuster A et al; Freedom Study Group. Safety, efficacy and convenience of colistimethate sodium dry powder for inhalation (Colobreathe DPI) in patients with cystic fibrosis: a randomised study. Thorax. 2013 Apr;68(4):344-50.</w:t>
      </w:r>
    </w:p>
    <w:p w14:paraId="6D70A6D2" w14:textId="7AC62E3A" w:rsidR="00543EAA" w:rsidRPr="00E121B0" w:rsidRDefault="0037611B" w:rsidP="00352A74">
      <w:pPr>
        <w:rPr>
          <w:rFonts w:ascii="Arial" w:hAnsi="Arial" w:cs="Arial"/>
          <w:sz w:val="20"/>
          <w:szCs w:val="20"/>
        </w:rPr>
      </w:pPr>
      <w:r w:rsidRPr="00E121B0">
        <w:rPr>
          <w:rFonts w:ascii="Arial" w:hAnsi="Arial" w:cs="Arial"/>
          <w:sz w:val="20"/>
          <w:szCs w:val="20"/>
        </w:rPr>
        <w:t>[</w:t>
      </w:r>
      <w:r w:rsidR="00D6569C" w:rsidRPr="00E121B0">
        <w:rPr>
          <w:rFonts w:ascii="Arial" w:hAnsi="Arial" w:cs="Arial"/>
          <w:sz w:val="20"/>
          <w:szCs w:val="20"/>
        </w:rPr>
        <w:t>20</w:t>
      </w:r>
      <w:r w:rsidRPr="00E121B0">
        <w:rPr>
          <w:rFonts w:ascii="Arial" w:hAnsi="Arial" w:cs="Arial"/>
          <w:sz w:val="20"/>
          <w:szCs w:val="20"/>
        </w:rPr>
        <w:t xml:space="preserve">] </w:t>
      </w:r>
      <w:r w:rsidR="00414BD5" w:rsidRPr="00E121B0">
        <w:rPr>
          <w:rFonts w:ascii="Arial" w:hAnsi="Arial" w:cs="Arial"/>
          <w:sz w:val="20"/>
          <w:szCs w:val="20"/>
        </w:rPr>
        <w:t>Saiman L et al; AZ0004 Azithromycin Study Group. Effect of azithromycin on pulmonary function in patients with cystic fibrosis uninfected with Pseudomonas aeruginosa: a randomized controlled trial. JAMA. 2010 May 5;303(17):1707-15.</w:t>
      </w:r>
    </w:p>
    <w:p w14:paraId="778F5DE2" w14:textId="37E25833" w:rsidR="00414BD5" w:rsidRPr="00E121B0" w:rsidRDefault="0037611B" w:rsidP="00352A74">
      <w:pPr>
        <w:rPr>
          <w:rFonts w:ascii="Arial" w:hAnsi="Arial" w:cs="Arial"/>
          <w:sz w:val="20"/>
          <w:szCs w:val="20"/>
        </w:rPr>
      </w:pPr>
      <w:r w:rsidRPr="00E121B0">
        <w:rPr>
          <w:rFonts w:ascii="Arial" w:hAnsi="Arial" w:cs="Arial"/>
          <w:sz w:val="20"/>
          <w:szCs w:val="20"/>
        </w:rPr>
        <w:t>[</w:t>
      </w:r>
      <w:r w:rsidR="00D6569C" w:rsidRPr="00E121B0">
        <w:rPr>
          <w:rFonts w:ascii="Arial" w:hAnsi="Arial" w:cs="Arial"/>
          <w:sz w:val="20"/>
          <w:szCs w:val="20"/>
        </w:rPr>
        <w:t>21</w:t>
      </w:r>
      <w:r w:rsidRPr="00E121B0">
        <w:rPr>
          <w:rFonts w:ascii="Arial" w:hAnsi="Arial" w:cs="Arial"/>
          <w:sz w:val="20"/>
          <w:szCs w:val="20"/>
        </w:rPr>
        <w:t xml:space="preserve">] </w:t>
      </w:r>
      <w:r w:rsidR="00414BD5" w:rsidRPr="00E121B0">
        <w:rPr>
          <w:rFonts w:ascii="Arial" w:hAnsi="Arial" w:cs="Arial"/>
          <w:sz w:val="20"/>
          <w:szCs w:val="20"/>
        </w:rPr>
        <w:t xml:space="preserve">Saiman L, Marshall BC, Mayer-Hamblett N, Burns JL, Quittner AL, Cibene DA, Coquillette S, Fieberg AY, Accurso FJ, Campbell PW 3rd; Macrolide Study Group. Azithromycin in patients with cystic fibrosis chronically infected with Pseudomonas aeruginosa: a randomized controlled trial. JAMA. 2003 Oct 1;290(13):1749-56. doi: 10.1001/jama.290.13.1749. </w:t>
      </w:r>
    </w:p>
    <w:p w14:paraId="6E322B41" w14:textId="1F406DB6" w:rsidR="00CB2B33" w:rsidRPr="00E121B0" w:rsidRDefault="00CB2B33" w:rsidP="00352A74">
      <w:pPr>
        <w:rPr>
          <w:rFonts w:ascii="Arial" w:hAnsi="Arial" w:cs="Arial"/>
          <w:sz w:val="20"/>
          <w:szCs w:val="20"/>
        </w:rPr>
      </w:pPr>
      <w:r w:rsidRPr="00E121B0">
        <w:rPr>
          <w:rFonts w:ascii="Arial" w:hAnsi="Arial" w:cs="Arial"/>
          <w:sz w:val="20"/>
          <w:szCs w:val="20"/>
        </w:rPr>
        <w:lastRenderedPageBreak/>
        <w:t>[</w:t>
      </w:r>
      <w:r w:rsidR="0041372B" w:rsidRPr="00E121B0">
        <w:rPr>
          <w:rFonts w:ascii="Arial" w:hAnsi="Arial" w:cs="Arial"/>
          <w:sz w:val="20"/>
          <w:szCs w:val="20"/>
        </w:rPr>
        <w:t>2</w:t>
      </w:r>
      <w:r w:rsidR="00D6569C" w:rsidRPr="00E121B0">
        <w:rPr>
          <w:rFonts w:ascii="Arial" w:hAnsi="Arial" w:cs="Arial"/>
          <w:sz w:val="20"/>
          <w:szCs w:val="20"/>
        </w:rPr>
        <w:t>2</w:t>
      </w:r>
      <w:r w:rsidRPr="00E121B0">
        <w:rPr>
          <w:rFonts w:ascii="Arial" w:hAnsi="Arial" w:cs="Arial"/>
          <w:sz w:val="20"/>
          <w:szCs w:val="20"/>
        </w:rPr>
        <w:t>] Smith S, Rowbotham NJ. Inhaled anti</w:t>
      </w:r>
      <w:r w:rsidRPr="00E121B0">
        <w:rPr>
          <w:rFonts w:ascii="Cambria Math" w:hAnsi="Cambria Math" w:cs="Cambria Math"/>
          <w:sz w:val="20"/>
          <w:szCs w:val="20"/>
        </w:rPr>
        <w:t>‐</w:t>
      </w:r>
      <w:r w:rsidRPr="00E121B0">
        <w:rPr>
          <w:rFonts w:ascii="Arial" w:hAnsi="Arial" w:cs="Arial"/>
          <w:sz w:val="20"/>
          <w:szCs w:val="20"/>
        </w:rPr>
        <w:t>pseudomonal antibiotics for long</w:t>
      </w:r>
      <w:r w:rsidRPr="00E121B0">
        <w:rPr>
          <w:rFonts w:ascii="Cambria Math" w:hAnsi="Cambria Math" w:cs="Cambria Math"/>
          <w:sz w:val="20"/>
          <w:szCs w:val="20"/>
        </w:rPr>
        <w:t>‐</w:t>
      </w:r>
      <w:r w:rsidRPr="00E121B0">
        <w:rPr>
          <w:rFonts w:ascii="Arial" w:hAnsi="Arial" w:cs="Arial"/>
          <w:sz w:val="20"/>
          <w:szCs w:val="20"/>
        </w:rPr>
        <w:t>term therapy in cystic fibrosis. Cochrane Database of Systematic Reviews 2022, Issue 11. Art. No.: CD001021. DOI: 10.1002/14651858.CD001021.pub4</w:t>
      </w:r>
    </w:p>
    <w:p w14:paraId="764419DF" w14:textId="317B1EEA" w:rsidR="002470E4" w:rsidRPr="00E121B0" w:rsidRDefault="00117992" w:rsidP="00352A74">
      <w:pPr>
        <w:rPr>
          <w:rFonts w:ascii="Arial" w:hAnsi="Arial" w:cs="Arial"/>
          <w:sz w:val="20"/>
          <w:szCs w:val="20"/>
        </w:rPr>
      </w:pPr>
      <w:r w:rsidRPr="00E121B0">
        <w:rPr>
          <w:rFonts w:ascii="Arial" w:hAnsi="Arial" w:cs="Arial"/>
          <w:sz w:val="20"/>
          <w:szCs w:val="20"/>
        </w:rPr>
        <w:t>[</w:t>
      </w:r>
      <w:r w:rsidR="0041372B" w:rsidRPr="00E121B0">
        <w:rPr>
          <w:rFonts w:ascii="Arial" w:hAnsi="Arial" w:cs="Arial"/>
          <w:sz w:val="20"/>
          <w:szCs w:val="20"/>
        </w:rPr>
        <w:t>2</w:t>
      </w:r>
      <w:r w:rsidR="00D6569C" w:rsidRPr="00E121B0">
        <w:rPr>
          <w:rFonts w:ascii="Arial" w:hAnsi="Arial" w:cs="Arial"/>
          <w:sz w:val="20"/>
          <w:szCs w:val="20"/>
        </w:rPr>
        <w:t>3</w:t>
      </w:r>
      <w:r w:rsidRPr="00E121B0">
        <w:rPr>
          <w:rFonts w:ascii="Arial" w:hAnsi="Arial" w:cs="Arial"/>
          <w:sz w:val="20"/>
          <w:szCs w:val="20"/>
        </w:rPr>
        <w:t xml:space="preserve">] Southern KW, Solis-Moya A, Kurz D, Smith S. Macrolide antibiotics (including azithromycin) for cystic fibrosis. Cochrane Database of Systematic Reviews 2024, Issue 2. Art. No.: CD002203. DOI: 10.1002/14651858.CD002203.pub5. </w:t>
      </w:r>
    </w:p>
    <w:p w14:paraId="78639E7D" w14:textId="39CE5EBF" w:rsidR="00FE17CE" w:rsidRDefault="009944E2" w:rsidP="00352A74">
      <w:pPr>
        <w:rPr>
          <w:rFonts w:ascii="Arial" w:hAnsi="Arial" w:cs="Arial"/>
          <w:sz w:val="20"/>
          <w:szCs w:val="20"/>
        </w:rPr>
      </w:pPr>
      <w:r w:rsidRPr="00E121B0">
        <w:rPr>
          <w:rFonts w:ascii="Arial" w:hAnsi="Arial" w:cs="Arial"/>
          <w:sz w:val="20"/>
          <w:szCs w:val="20"/>
        </w:rPr>
        <w:t>[2</w:t>
      </w:r>
      <w:r w:rsidR="00D6569C" w:rsidRPr="00E121B0">
        <w:rPr>
          <w:rFonts w:ascii="Arial" w:hAnsi="Arial" w:cs="Arial"/>
          <w:sz w:val="20"/>
          <w:szCs w:val="20"/>
        </w:rPr>
        <w:t>4</w:t>
      </w:r>
      <w:r w:rsidRPr="00E121B0">
        <w:rPr>
          <w:rFonts w:ascii="Arial" w:hAnsi="Arial" w:cs="Arial"/>
          <w:sz w:val="20"/>
          <w:szCs w:val="20"/>
        </w:rPr>
        <w:t xml:space="preserve">] Cystic Fibrosis Trust. Cystic Fibrosis Trust UK CF Registry Annual review proforma. 2023. Available at: </w:t>
      </w:r>
      <w:hyperlink r:id="rId10" w:history="1">
        <w:r w:rsidR="00BD5919" w:rsidRPr="00E121B0">
          <w:rPr>
            <w:rStyle w:val="Hyperlink"/>
            <w:rFonts w:ascii="Arial" w:hAnsi="Arial" w:cs="Arial"/>
            <w:sz w:val="20"/>
            <w:szCs w:val="20"/>
          </w:rPr>
          <w:t>https://www.cysticfibrosis.org.uk/sites/default/files/2023-08/Annual%20review%20proforma%20-%20complete%20-%20June%202023.pdf</w:t>
        </w:r>
      </w:hyperlink>
      <w:r w:rsidR="00BD5919" w:rsidRPr="00E121B0">
        <w:rPr>
          <w:rFonts w:ascii="Arial" w:hAnsi="Arial" w:cs="Arial"/>
          <w:sz w:val="20"/>
          <w:szCs w:val="20"/>
        </w:rPr>
        <w:t xml:space="preserve"> Accessed: 17:09 19/03/2025. </w:t>
      </w:r>
    </w:p>
    <w:p w14:paraId="647E234B" w14:textId="35BDEEC1" w:rsidR="00735A03" w:rsidRDefault="00735A03" w:rsidP="00352A74">
      <w:pPr>
        <w:rPr>
          <w:rFonts w:ascii="Arial" w:hAnsi="Arial" w:cs="Arial"/>
          <w:sz w:val="20"/>
          <w:szCs w:val="20"/>
        </w:rPr>
      </w:pPr>
      <w:r>
        <w:rPr>
          <w:rFonts w:ascii="Arial" w:hAnsi="Arial" w:cs="Arial"/>
          <w:sz w:val="20"/>
          <w:szCs w:val="20"/>
        </w:rPr>
        <w:t xml:space="preserve">[25] </w:t>
      </w:r>
      <w:r w:rsidRPr="00735A03">
        <w:rPr>
          <w:rFonts w:ascii="Arial" w:hAnsi="Arial" w:cs="Arial"/>
          <w:sz w:val="20"/>
          <w:szCs w:val="20"/>
        </w:rPr>
        <w:t xml:space="preserve">Hernán MA, Robins JM (2020). </w:t>
      </w:r>
      <w:r w:rsidRPr="00735A03">
        <w:rPr>
          <w:rFonts w:ascii="Arial" w:hAnsi="Arial" w:cs="Arial"/>
          <w:i/>
          <w:iCs/>
          <w:sz w:val="20"/>
          <w:szCs w:val="20"/>
        </w:rPr>
        <w:t>Causal Inference: What If</w:t>
      </w:r>
      <w:r>
        <w:rPr>
          <w:rFonts w:ascii="Arial" w:hAnsi="Arial" w:cs="Arial"/>
          <w:i/>
          <w:iCs/>
          <w:sz w:val="20"/>
          <w:szCs w:val="20"/>
        </w:rPr>
        <w:t xml:space="preserve"> (Chapter 3)</w:t>
      </w:r>
      <w:r w:rsidRPr="00735A03">
        <w:rPr>
          <w:rFonts w:ascii="Arial" w:hAnsi="Arial" w:cs="Arial"/>
          <w:sz w:val="20"/>
          <w:szCs w:val="20"/>
        </w:rPr>
        <w:t>. Boca Raton: Chapman &amp; Hall/CRC</w:t>
      </w:r>
    </w:p>
    <w:p w14:paraId="2A57C6F8" w14:textId="08F40FBB" w:rsidR="00735A03" w:rsidRDefault="00735A03" w:rsidP="00352A74">
      <w:pPr>
        <w:rPr>
          <w:rFonts w:ascii="Arial" w:hAnsi="Arial" w:cs="Arial"/>
          <w:sz w:val="20"/>
          <w:szCs w:val="20"/>
        </w:rPr>
      </w:pPr>
      <w:r>
        <w:rPr>
          <w:rFonts w:ascii="Arial" w:hAnsi="Arial" w:cs="Arial"/>
          <w:sz w:val="20"/>
          <w:szCs w:val="20"/>
        </w:rPr>
        <w:t xml:space="preserve">[26] </w:t>
      </w:r>
      <w:r w:rsidRPr="00735A03">
        <w:rPr>
          <w:rFonts w:ascii="Arial" w:hAnsi="Arial" w:cs="Arial"/>
          <w:sz w:val="20"/>
          <w:szCs w:val="20"/>
        </w:rPr>
        <w:t>Fisher, A., &amp; Kennedy, E. H. (2020). Visually Communicating and Teaching Intuition for Influence Functions. </w:t>
      </w:r>
      <w:r w:rsidRPr="00735A03">
        <w:rPr>
          <w:rFonts w:ascii="Arial" w:hAnsi="Arial" w:cs="Arial"/>
          <w:i/>
          <w:iCs/>
          <w:sz w:val="20"/>
          <w:szCs w:val="20"/>
        </w:rPr>
        <w:t>The American Statistician</w:t>
      </w:r>
      <w:r w:rsidRPr="00735A03">
        <w:rPr>
          <w:rFonts w:ascii="Arial" w:hAnsi="Arial" w:cs="Arial"/>
          <w:sz w:val="20"/>
          <w:szCs w:val="20"/>
        </w:rPr>
        <w:t>, </w:t>
      </w:r>
      <w:r w:rsidRPr="00735A03">
        <w:rPr>
          <w:rFonts w:ascii="Arial" w:hAnsi="Arial" w:cs="Arial"/>
          <w:i/>
          <w:iCs/>
          <w:sz w:val="20"/>
          <w:szCs w:val="20"/>
        </w:rPr>
        <w:t>75</w:t>
      </w:r>
      <w:r w:rsidRPr="00735A03">
        <w:rPr>
          <w:rFonts w:ascii="Arial" w:hAnsi="Arial" w:cs="Arial"/>
          <w:sz w:val="20"/>
          <w:szCs w:val="20"/>
        </w:rPr>
        <w:t>(2), 162–172.</w:t>
      </w:r>
      <w:r>
        <w:rPr>
          <w:rFonts w:ascii="Arial" w:hAnsi="Arial" w:cs="Arial"/>
          <w:sz w:val="20"/>
          <w:szCs w:val="20"/>
        </w:rPr>
        <w:t xml:space="preserve"> </w:t>
      </w:r>
      <w:hyperlink r:id="rId11" w:history="1">
        <w:r w:rsidR="004D7042" w:rsidRPr="002512BB">
          <w:rPr>
            <w:rStyle w:val="Hyperlink"/>
            <w:rFonts w:ascii="Arial" w:hAnsi="Arial" w:cs="Arial"/>
            <w:sz w:val="20"/>
            <w:szCs w:val="20"/>
          </w:rPr>
          <w:t>https://doi.org/10.1080/00031305.2020.1717620</w:t>
        </w:r>
      </w:hyperlink>
    </w:p>
    <w:p w14:paraId="58E60D44" w14:textId="4E98B504" w:rsidR="004D7042" w:rsidRPr="00E121B0" w:rsidRDefault="004D7042" w:rsidP="00352A74">
      <w:pPr>
        <w:rPr>
          <w:rFonts w:ascii="Arial" w:hAnsi="Arial" w:cs="Arial"/>
          <w:sz w:val="20"/>
          <w:szCs w:val="20"/>
        </w:rPr>
      </w:pPr>
      <w:r>
        <w:rPr>
          <w:rFonts w:ascii="Arial" w:hAnsi="Arial" w:cs="Arial"/>
          <w:sz w:val="20"/>
          <w:szCs w:val="20"/>
        </w:rPr>
        <w:t xml:space="preserve">[27] </w:t>
      </w:r>
      <w:r w:rsidRPr="004D7042">
        <w:rPr>
          <w:rFonts w:ascii="Arial" w:hAnsi="Arial" w:cs="Arial"/>
          <w:sz w:val="20"/>
          <w:szCs w:val="20"/>
        </w:rPr>
        <w:t>Gabriel EE, Sachs MC, Waernbaum I, Goetghebeur E, Blanche PF, Vansteelandt S, Sjölander A, Scheike T. Propensity weighting plus adjustment in proportional hazards model is not doubly robust. Biometrics. 2024 Jul 1;80(3):ujae069. doi: 10.1093/biomtc/ujae069. PMID: 39036984.</w:t>
      </w:r>
    </w:p>
    <w:p w14:paraId="6FD419C9" w14:textId="0C05D06A" w:rsidR="00DD0DED" w:rsidRPr="00E121B0" w:rsidRDefault="00717E08" w:rsidP="00352A74">
      <w:pPr>
        <w:rPr>
          <w:rFonts w:ascii="Arial" w:hAnsi="Arial" w:cs="Arial"/>
          <w:sz w:val="20"/>
          <w:szCs w:val="20"/>
        </w:rPr>
      </w:pPr>
      <w:r w:rsidRPr="00E121B0">
        <w:rPr>
          <w:rFonts w:ascii="Arial" w:hAnsi="Arial" w:cs="Arial"/>
          <w:sz w:val="20"/>
          <w:szCs w:val="20"/>
        </w:rPr>
        <w:t>[2</w:t>
      </w:r>
      <w:r w:rsidR="004D7042">
        <w:rPr>
          <w:rFonts w:ascii="Arial" w:hAnsi="Arial" w:cs="Arial"/>
          <w:sz w:val="20"/>
          <w:szCs w:val="20"/>
        </w:rPr>
        <w:t>8</w:t>
      </w:r>
      <w:r w:rsidRPr="00E121B0">
        <w:rPr>
          <w:rFonts w:ascii="Arial" w:hAnsi="Arial" w:cs="Arial"/>
          <w:sz w:val="20"/>
          <w:szCs w:val="20"/>
        </w:rPr>
        <w:t xml:space="preserve">] </w:t>
      </w:r>
      <w:r w:rsidR="00BA0193" w:rsidRPr="00E121B0">
        <w:rPr>
          <w:rFonts w:ascii="Arial" w:hAnsi="Arial" w:cs="Arial"/>
          <w:color w:val="000000"/>
          <w:sz w:val="20"/>
          <w:szCs w:val="20"/>
        </w:rPr>
        <w:t>Wang SV, Schneeweiss S, RCT-DUPLICATE Initiative. Emulation of Randomized Clinical Trials With Nonrandomized Database Analyses: Results of 32 Clinical Trials. JAMA. 2023 Apr 25;329(16):1376–85.</w:t>
      </w:r>
      <w:r w:rsidR="006F73A5" w:rsidRPr="00E121B0">
        <w:rPr>
          <w:rFonts w:ascii="Arial" w:hAnsi="Arial" w:cs="Arial"/>
          <w:sz w:val="20"/>
          <w:szCs w:val="20"/>
        </w:rPr>
        <w:t xml:space="preserve"> </w:t>
      </w:r>
    </w:p>
    <w:p w14:paraId="129779B6" w14:textId="1DC4A6DE" w:rsidR="00942883" w:rsidRPr="00E121B0" w:rsidRDefault="00942883" w:rsidP="00942883">
      <w:pPr>
        <w:rPr>
          <w:rStyle w:val="cf01"/>
          <w:rFonts w:ascii="Arial" w:hAnsi="Arial" w:cs="Arial"/>
          <w:color w:val="1C1D1E"/>
          <w:sz w:val="20"/>
          <w:szCs w:val="20"/>
          <w:shd w:val="clear" w:color="auto" w:fill="FFFFFF"/>
        </w:rPr>
      </w:pPr>
      <w:r w:rsidRPr="00E121B0">
        <w:rPr>
          <w:rFonts w:ascii="Arial" w:hAnsi="Arial" w:cs="Arial"/>
          <w:color w:val="212121"/>
          <w:sz w:val="20"/>
          <w:szCs w:val="20"/>
          <w:shd w:val="clear" w:color="auto" w:fill="FFFFFF"/>
        </w:rPr>
        <w:t>[2</w:t>
      </w:r>
      <w:r w:rsidR="004D7042">
        <w:rPr>
          <w:rFonts w:ascii="Arial" w:hAnsi="Arial" w:cs="Arial"/>
          <w:color w:val="212121"/>
          <w:sz w:val="20"/>
          <w:szCs w:val="20"/>
          <w:shd w:val="clear" w:color="auto" w:fill="FFFFFF"/>
        </w:rPr>
        <w:t>9</w:t>
      </w:r>
      <w:r w:rsidRPr="00E121B0">
        <w:rPr>
          <w:rFonts w:ascii="Arial" w:hAnsi="Arial" w:cs="Arial"/>
          <w:color w:val="212121"/>
          <w:sz w:val="20"/>
          <w:szCs w:val="20"/>
          <w:shd w:val="clear" w:color="auto" w:fill="FFFFFF"/>
        </w:rPr>
        <w:t xml:space="preserve">] </w:t>
      </w:r>
      <w:r w:rsidRPr="00E121B0">
        <w:rPr>
          <w:rStyle w:val="author"/>
          <w:rFonts w:ascii="Arial" w:hAnsi="Arial" w:cs="Arial"/>
          <w:color w:val="1C1D1E"/>
          <w:sz w:val="20"/>
          <w:szCs w:val="20"/>
          <w:shd w:val="clear" w:color="auto" w:fill="FFFFFF"/>
        </w:rPr>
        <w:t>Knudson RJ</w:t>
      </w:r>
      <w:r w:rsidRPr="00E121B0">
        <w:rPr>
          <w:rFonts w:ascii="Arial" w:hAnsi="Arial" w:cs="Arial"/>
          <w:color w:val="1C1D1E"/>
          <w:sz w:val="20"/>
          <w:szCs w:val="20"/>
          <w:shd w:val="clear" w:color="auto" w:fill="FFFFFF"/>
        </w:rPr>
        <w:t>, </w:t>
      </w:r>
      <w:r w:rsidRPr="00E121B0">
        <w:rPr>
          <w:rStyle w:val="author"/>
          <w:rFonts w:ascii="Arial" w:hAnsi="Arial" w:cs="Arial"/>
          <w:color w:val="1C1D1E"/>
          <w:sz w:val="20"/>
          <w:szCs w:val="20"/>
          <w:shd w:val="clear" w:color="auto" w:fill="FFFFFF"/>
        </w:rPr>
        <w:t>Lebowitz MD</w:t>
      </w:r>
      <w:r w:rsidRPr="00E121B0">
        <w:rPr>
          <w:rFonts w:ascii="Arial" w:hAnsi="Arial" w:cs="Arial"/>
          <w:color w:val="1C1D1E"/>
          <w:sz w:val="20"/>
          <w:szCs w:val="20"/>
          <w:shd w:val="clear" w:color="auto" w:fill="FFFFFF"/>
        </w:rPr>
        <w:t>, </w:t>
      </w:r>
      <w:r w:rsidRPr="00E121B0">
        <w:rPr>
          <w:rStyle w:val="author"/>
          <w:rFonts w:ascii="Arial" w:hAnsi="Arial" w:cs="Arial"/>
          <w:color w:val="1C1D1E"/>
          <w:sz w:val="20"/>
          <w:szCs w:val="20"/>
          <w:shd w:val="clear" w:color="auto" w:fill="FFFFFF"/>
        </w:rPr>
        <w:t>Holberg CJ</w:t>
      </w:r>
      <w:r w:rsidRPr="00E121B0">
        <w:rPr>
          <w:rFonts w:ascii="Arial" w:hAnsi="Arial" w:cs="Arial"/>
          <w:color w:val="1C1D1E"/>
          <w:sz w:val="20"/>
          <w:szCs w:val="20"/>
          <w:shd w:val="clear" w:color="auto" w:fill="FFFFFF"/>
        </w:rPr>
        <w:t>, </w:t>
      </w:r>
      <w:r w:rsidRPr="00E121B0">
        <w:rPr>
          <w:rStyle w:val="author"/>
          <w:rFonts w:ascii="Arial" w:hAnsi="Arial" w:cs="Arial"/>
          <w:color w:val="1C1D1E"/>
          <w:sz w:val="20"/>
          <w:szCs w:val="20"/>
          <w:shd w:val="clear" w:color="auto" w:fill="FFFFFF"/>
        </w:rPr>
        <w:t>Burrows B</w:t>
      </w:r>
      <w:r w:rsidRPr="00E121B0">
        <w:rPr>
          <w:rFonts w:ascii="Arial" w:hAnsi="Arial" w:cs="Arial"/>
          <w:color w:val="1C1D1E"/>
          <w:sz w:val="20"/>
          <w:szCs w:val="20"/>
          <w:shd w:val="clear" w:color="auto" w:fill="FFFFFF"/>
        </w:rPr>
        <w:t>. </w:t>
      </w:r>
      <w:r w:rsidRPr="00E121B0">
        <w:rPr>
          <w:rStyle w:val="articletitle"/>
          <w:rFonts w:ascii="Arial" w:hAnsi="Arial" w:cs="Arial"/>
          <w:color w:val="1C1D1E"/>
          <w:sz w:val="20"/>
          <w:szCs w:val="20"/>
          <w:shd w:val="clear" w:color="auto" w:fill="FFFFFF"/>
        </w:rPr>
        <w:t>Changes in the normal maximal expiratory flow-volume curve with growth and aging</w:t>
      </w:r>
      <w:r w:rsidRPr="00E121B0">
        <w:rPr>
          <w:rFonts w:ascii="Arial" w:hAnsi="Arial" w:cs="Arial"/>
          <w:color w:val="1C1D1E"/>
          <w:sz w:val="20"/>
          <w:szCs w:val="20"/>
          <w:shd w:val="clear" w:color="auto" w:fill="FFFFFF"/>
        </w:rPr>
        <w:t>. </w:t>
      </w:r>
      <w:r w:rsidRPr="00E121B0">
        <w:rPr>
          <w:rFonts w:ascii="Arial" w:hAnsi="Arial" w:cs="Arial"/>
          <w:i/>
          <w:iCs/>
          <w:color w:val="1C1D1E"/>
          <w:sz w:val="20"/>
          <w:szCs w:val="20"/>
          <w:shd w:val="clear" w:color="auto" w:fill="FFFFFF"/>
        </w:rPr>
        <w:t>Am Rev Respir Dis</w:t>
      </w:r>
      <w:r w:rsidRPr="00E121B0">
        <w:rPr>
          <w:rFonts w:ascii="Arial" w:hAnsi="Arial" w:cs="Arial"/>
          <w:color w:val="1C1D1E"/>
          <w:sz w:val="20"/>
          <w:szCs w:val="20"/>
          <w:shd w:val="clear" w:color="auto" w:fill="FFFFFF"/>
        </w:rPr>
        <w:t>. </w:t>
      </w:r>
      <w:r w:rsidRPr="00E121B0">
        <w:rPr>
          <w:rStyle w:val="pubyear"/>
          <w:rFonts w:ascii="Arial" w:hAnsi="Arial" w:cs="Arial"/>
          <w:color w:val="1C1D1E"/>
          <w:sz w:val="20"/>
          <w:szCs w:val="20"/>
          <w:shd w:val="clear" w:color="auto" w:fill="FFFFFF"/>
        </w:rPr>
        <w:t>1983</w:t>
      </w:r>
      <w:r w:rsidRPr="00E121B0">
        <w:rPr>
          <w:rFonts w:ascii="Arial" w:hAnsi="Arial" w:cs="Arial"/>
          <w:color w:val="1C1D1E"/>
          <w:sz w:val="20"/>
          <w:szCs w:val="20"/>
          <w:shd w:val="clear" w:color="auto" w:fill="FFFFFF"/>
        </w:rPr>
        <w:t>; </w:t>
      </w:r>
      <w:r w:rsidRPr="00E121B0">
        <w:rPr>
          <w:rStyle w:val="vol"/>
          <w:rFonts w:ascii="Arial" w:hAnsi="Arial" w:cs="Arial"/>
          <w:b/>
          <w:bCs/>
          <w:color w:val="1C1D1E"/>
          <w:sz w:val="20"/>
          <w:szCs w:val="20"/>
          <w:shd w:val="clear" w:color="auto" w:fill="FFFFFF"/>
        </w:rPr>
        <w:t>127</w:t>
      </w:r>
      <w:r w:rsidRPr="00E121B0">
        <w:rPr>
          <w:rFonts w:ascii="Arial" w:hAnsi="Arial" w:cs="Arial"/>
          <w:color w:val="1C1D1E"/>
          <w:sz w:val="20"/>
          <w:szCs w:val="20"/>
          <w:shd w:val="clear" w:color="auto" w:fill="FFFFFF"/>
        </w:rPr>
        <w:t>: </w:t>
      </w:r>
      <w:r w:rsidRPr="00E121B0">
        <w:rPr>
          <w:rStyle w:val="pagefirst"/>
          <w:rFonts w:ascii="Arial" w:hAnsi="Arial" w:cs="Arial"/>
          <w:color w:val="1C1D1E"/>
          <w:sz w:val="20"/>
          <w:szCs w:val="20"/>
          <w:shd w:val="clear" w:color="auto" w:fill="FFFFFF"/>
        </w:rPr>
        <w:t>725</w:t>
      </w:r>
      <w:r w:rsidRPr="00E121B0">
        <w:rPr>
          <w:rFonts w:ascii="Arial" w:hAnsi="Arial" w:cs="Arial"/>
          <w:color w:val="1C1D1E"/>
          <w:sz w:val="20"/>
          <w:szCs w:val="20"/>
          <w:shd w:val="clear" w:color="auto" w:fill="FFFFFF"/>
        </w:rPr>
        <w:t>– </w:t>
      </w:r>
      <w:r w:rsidRPr="00E121B0">
        <w:rPr>
          <w:rStyle w:val="pagelast"/>
          <w:rFonts w:ascii="Arial" w:hAnsi="Arial" w:cs="Arial"/>
          <w:color w:val="1C1D1E"/>
          <w:sz w:val="20"/>
          <w:szCs w:val="20"/>
          <w:shd w:val="clear" w:color="auto" w:fill="FFFFFF"/>
        </w:rPr>
        <w:t>734</w:t>
      </w:r>
      <w:r w:rsidRPr="00E121B0">
        <w:rPr>
          <w:rFonts w:ascii="Arial" w:hAnsi="Arial" w:cs="Arial"/>
          <w:color w:val="1C1D1E"/>
          <w:sz w:val="20"/>
          <w:szCs w:val="20"/>
          <w:shd w:val="clear" w:color="auto" w:fill="FFFFFF"/>
        </w:rPr>
        <w:t>.</w:t>
      </w:r>
    </w:p>
    <w:p w14:paraId="6DE538E9" w14:textId="6DD1E0C4" w:rsidR="00942883" w:rsidRPr="00E121B0" w:rsidRDefault="00942883" w:rsidP="00942883">
      <w:pPr>
        <w:rPr>
          <w:rStyle w:val="cf01"/>
          <w:rFonts w:ascii="Arial" w:hAnsi="Arial" w:cs="Arial"/>
          <w:sz w:val="20"/>
          <w:szCs w:val="20"/>
        </w:rPr>
      </w:pPr>
      <w:r w:rsidRPr="00E121B0">
        <w:rPr>
          <w:rStyle w:val="cf01"/>
          <w:rFonts w:ascii="Arial" w:hAnsi="Arial" w:cs="Arial"/>
          <w:sz w:val="20"/>
          <w:szCs w:val="20"/>
        </w:rPr>
        <w:t>[</w:t>
      </w:r>
      <w:r w:rsidR="004D7042">
        <w:rPr>
          <w:rStyle w:val="cf01"/>
          <w:rFonts w:ascii="Arial" w:hAnsi="Arial" w:cs="Arial"/>
          <w:sz w:val="20"/>
          <w:szCs w:val="20"/>
        </w:rPr>
        <w:t>30</w:t>
      </w:r>
      <w:r w:rsidRPr="00E121B0">
        <w:rPr>
          <w:rStyle w:val="cf01"/>
          <w:rFonts w:ascii="Arial" w:hAnsi="Arial" w:cs="Arial"/>
          <w:sz w:val="20"/>
          <w:szCs w:val="20"/>
        </w:rPr>
        <w:t xml:space="preserve">] </w:t>
      </w:r>
      <w:r w:rsidRPr="00E121B0">
        <w:rPr>
          <w:rFonts w:ascii="Arial" w:hAnsi="Arial" w:cs="Arial"/>
          <w:color w:val="212121"/>
          <w:sz w:val="20"/>
          <w:szCs w:val="20"/>
          <w:shd w:val="clear" w:color="auto" w:fill="FFFFFF"/>
        </w:rPr>
        <w:t>Quanjer PH, Stanojevic S, Cole TJ, Baur X, Hall GL, Culver BH, Enright PL, Hankinson JL, Ip MS, Zheng J, Stocks J; ERS Global Lung Function Initiative. Multi-ethnic reference values for spirometry for the 3-95-yr age range: the global lung function 2012 equations. Eur Respir J. 2012 Dec;40(6):1324-43</w:t>
      </w:r>
    </w:p>
    <w:p w14:paraId="3B23A527" w14:textId="0F6AAE77" w:rsidR="00942883" w:rsidRPr="00E121B0" w:rsidRDefault="00942883" w:rsidP="00942883">
      <w:pPr>
        <w:rPr>
          <w:rFonts w:ascii="Arial" w:hAnsi="Arial" w:cs="Arial"/>
          <w:color w:val="1C1D1E"/>
          <w:sz w:val="20"/>
          <w:szCs w:val="20"/>
          <w:shd w:val="clear" w:color="auto" w:fill="FFFFFF"/>
        </w:rPr>
      </w:pPr>
      <w:r w:rsidRPr="00E121B0">
        <w:rPr>
          <w:rFonts w:ascii="Arial" w:hAnsi="Arial" w:cs="Arial"/>
          <w:color w:val="212121"/>
          <w:sz w:val="20"/>
          <w:szCs w:val="20"/>
          <w:shd w:val="clear" w:color="auto" w:fill="FFFFFF"/>
        </w:rPr>
        <w:t>[</w:t>
      </w:r>
      <w:r w:rsidR="00735A03">
        <w:rPr>
          <w:rFonts w:ascii="Arial" w:hAnsi="Arial" w:cs="Arial"/>
          <w:color w:val="212121"/>
          <w:sz w:val="20"/>
          <w:szCs w:val="20"/>
          <w:shd w:val="clear" w:color="auto" w:fill="FFFFFF"/>
        </w:rPr>
        <w:t>3</w:t>
      </w:r>
      <w:r w:rsidR="004D7042">
        <w:rPr>
          <w:rFonts w:ascii="Arial" w:hAnsi="Arial" w:cs="Arial"/>
          <w:color w:val="212121"/>
          <w:sz w:val="20"/>
          <w:szCs w:val="20"/>
          <w:shd w:val="clear" w:color="auto" w:fill="FFFFFF"/>
        </w:rPr>
        <w:t>1</w:t>
      </w:r>
      <w:r w:rsidRPr="00E121B0">
        <w:rPr>
          <w:rFonts w:ascii="Arial" w:hAnsi="Arial" w:cs="Arial"/>
          <w:color w:val="212121"/>
          <w:sz w:val="20"/>
          <w:szCs w:val="20"/>
          <w:shd w:val="clear" w:color="auto" w:fill="FFFFFF"/>
        </w:rPr>
        <w:t>] Konstan MW, Wagener JS, VanDevanter DR, Pasta DJ, Millar SJ, Morgan WJ; Scientific Advisory Group and the Investigators and Coordinators of the Epidemiologic Study of Cystic Fibrosis. Comparison of FEV</w:t>
      </w:r>
      <w:r w:rsidRPr="00E121B0">
        <w:rPr>
          <w:rFonts w:ascii="Arial" w:hAnsi="Arial" w:cs="Arial"/>
          <w:color w:val="212121"/>
          <w:sz w:val="20"/>
          <w:szCs w:val="20"/>
          <w:shd w:val="clear" w:color="auto" w:fill="FFFFFF"/>
          <w:vertAlign w:val="subscript"/>
        </w:rPr>
        <w:t>1</w:t>
      </w:r>
      <w:r w:rsidRPr="00E121B0">
        <w:rPr>
          <w:rFonts w:ascii="Arial" w:hAnsi="Arial" w:cs="Arial"/>
          <w:color w:val="212121"/>
          <w:sz w:val="20"/>
          <w:szCs w:val="20"/>
          <w:shd w:val="clear" w:color="auto" w:fill="FFFFFF"/>
        </w:rPr>
        <w:t> reference equations for evaluating a cystic fibrosis therapeutic intervention. Pediatr Pulmonol. 2017 Aug;52(8):1013-1019.</w:t>
      </w:r>
    </w:p>
    <w:p w14:paraId="59C4CC7A" w14:textId="77777777" w:rsidR="00942883" w:rsidRPr="00E121B0" w:rsidRDefault="00942883" w:rsidP="00352A74">
      <w:pPr>
        <w:rPr>
          <w:rFonts w:ascii="Arial" w:hAnsi="Arial" w:cs="Arial"/>
          <w:sz w:val="20"/>
          <w:szCs w:val="20"/>
        </w:rPr>
      </w:pPr>
    </w:p>
    <w:sectPr w:rsidR="00942883" w:rsidRPr="00E12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3827"/>
    <w:multiLevelType w:val="hybridMultilevel"/>
    <w:tmpl w:val="8BB87C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1F01EF"/>
    <w:multiLevelType w:val="hybridMultilevel"/>
    <w:tmpl w:val="34841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C70279"/>
    <w:multiLevelType w:val="hybridMultilevel"/>
    <w:tmpl w:val="2280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F6FFA"/>
    <w:multiLevelType w:val="hybridMultilevel"/>
    <w:tmpl w:val="4E28CB0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9F793B"/>
    <w:multiLevelType w:val="hybridMultilevel"/>
    <w:tmpl w:val="EE4EB6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72E75EB"/>
    <w:multiLevelType w:val="hybridMultilevel"/>
    <w:tmpl w:val="484AB9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4812C5"/>
    <w:multiLevelType w:val="hybridMultilevel"/>
    <w:tmpl w:val="6582BF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C6454DD"/>
    <w:multiLevelType w:val="hybridMultilevel"/>
    <w:tmpl w:val="6E1A33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BE6D34"/>
    <w:multiLevelType w:val="hybridMultilevel"/>
    <w:tmpl w:val="ED6E57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A2540B"/>
    <w:multiLevelType w:val="hybridMultilevel"/>
    <w:tmpl w:val="E6B0AF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41C7484"/>
    <w:multiLevelType w:val="hybridMultilevel"/>
    <w:tmpl w:val="1FFA1E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000E0E"/>
    <w:multiLevelType w:val="hybridMultilevel"/>
    <w:tmpl w:val="1E003E94"/>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7CA1CC9"/>
    <w:multiLevelType w:val="multilevel"/>
    <w:tmpl w:val="D132EC58"/>
    <w:lvl w:ilvl="0">
      <w:start w:val="3"/>
      <w:numFmt w:val="decimal"/>
      <w:lvlText w:val="%1."/>
      <w:lvlJc w:val="left"/>
      <w:pPr>
        <w:ind w:left="360" w:hanging="360"/>
      </w:pPr>
      <w:rPr>
        <w:rFonts w:hint="default"/>
      </w:rPr>
    </w:lvl>
    <w:lvl w:ilvl="1">
      <w:start w:val="1"/>
      <w:numFmt w:val="decimal"/>
      <w:isLgl/>
      <w:lvlText w:val="%1.%2"/>
      <w:lvlJc w:val="left"/>
      <w:pPr>
        <w:ind w:left="670" w:hanging="67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8950D28"/>
    <w:multiLevelType w:val="hybridMultilevel"/>
    <w:tmpl w:val="FB266992"/>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1762ED5"/>
    <w:multiLevelType w:val="hybridMultilevel"/>
    <w:tmpl w:val="9FF05D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5897D7A"/>
    <w:multiLevelType w:val="hybridMultilevel"/>
    <w:tmpl w:val="981AB1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9D1C5D"/>
    <w:multiLevelType w:val="hybridMultilevel"/>
    <w:tmpl w:val="E5A44A5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A85401C"/>
    <w:multiLevelType w:val="hybridMultilevel"/>
    <w:tmpl w:val="F87A0B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B8E776A"/>
    <w:multiLevelType w:val="multilevel"/>
    <w:tmpl w:val="9E5CD8D6"/>
    <w:lvl w:ilvl="0">
      <w:start w:val="1"/>
      <w:numFmt w:val="decimal"/>
      <w:lvlText w:val="%1."/>
      <w:lvlJc w:val="left"/>
      <w:pPr>
        <w:ind w:left="360" w:hanging="360"/>
      </w:pPr>
      <w:rPr>
        <w:rFonts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3735FB0"/>
    <w:multiLevelType w:val="hybridMultilevel"/>
    <w:tmpl w:val="E83CFA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793126F"/>
    <w:multiLevelType w:val="hybridMultilevel"/>
    <w:tmpl w:val="852203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9796DCA"/>
    <w:multiLevelType w:val="hybridMultilevel"/>
    <w:tmpl w:val="7C9E60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A501933"/>
    <w:multiLevelType w:val="hybridMultilevel"/>
    <w:tmpl w:val="BF6E65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EB94E02"/>
    <w:multiLevelType w:val="multilevel"/>
    <w:tmpl w:val="FF5E631A"/>
    <w:lvl w:ilvl="0">
      <w:start w:val="1"/>
      <w:numFmt w:val="decimal"/>
      <w:lvlText w:val="%1."/>
      <w:lvlJc w:val="left"/>
      <w:pPr>
        <w:ind w:left="360" w:hanging="360"/>
      </w:pPr>
      <w:rPr>
        <w:rFonts w:hint="default"/>
      </w:rPr>
    </w:lvl>
    <w:lvl w:ilvl="1">
      <w:start w:val="7"/>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EC06ED2"/>
    <w:multiLevelType w:val="hybridMultilevel"/>
    <w:tmpl w:val="9C7A9B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ABC390D"/>
    <w:multiLevelType w:val="hybridMultilevel"/>
    <w:tmpl w:val="511E5E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B0F0F2E"/>
    <w:multiLevelType w:val="hybridMultilevel"/>
    <w:tmpl w:val="FA1CB3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DA830B2"/>
    <w:multiLevelType w:val="hybridMultilevel"/>
    <w:tmpl w:val="D422A6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09177BF"/>
    <w:multiLevelType w:val="hybridMultilevel"/>
    <w:tmpl w:val="F15851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8944FC1"/>
    <w:multiLevelType w:val="hybridMultilevel"/>
    <w:tmpl w:val="0540C0FC"/>
    <w:lvl w:ilvl="0" w:tplc="03A64918">
      <w:start w:val="1"/>
      <w:numFmt w:val="decimal"/>
      <w:lvlText w:val="%1."/>
      <w:lvlJc w:val="left"/>
      <w:pPr>
        <w:ind w:left="360" w:hanging="360"/>
      </w:pPr>
      <w:rPr>
        <w:rFonts w:ascii="Arial" w:eastAsiaTheme="minorHAnsi"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8B4EEA"/>
    <w:multiLevelType w:val="hybridMultilevel"/>
    <w:tmpl w:val="B0763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C17B23"/>
    <w:multiLevelType w:val="hybridMultilevel"/>
    <w:tmpl w:val="4AA038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DDC6760"/>
    <w:multiLevelType w:val="hybridMultilevel"/>
    <w:tmpl w:val="852203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0006CB2"/>
    <w:multiLevelType w:val="hybridMultilevel"/>
    <w:tmpl w:val="7C08E1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3D752F5"/>
    <w:multiLevelType w:val="multilevel"/>
    <w:tmpl w:val="B98CCC92"/>
    <w:lvl w:ilvl="0">
      <w:start w:val="1"/>
      <w:numFmt w:val="decimal"/>
      <w:lvlText w:val="%1."/>
      <w:lvlJc w:val="left"/>
      <w:pPr>
        <w:ind w:left="360" w:hanging="360"/>
      </w:pPr>
      <w:rPr>
        <w:rFonts w:hint="default"/>
      </w:rPr>
    </w:lvl>
    <w:lvl w:ilvl="1">
      <w:start w:val="4"/>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7807069C"/>
    <w:multiLevelType w:val="hybridMultilevel"/>
    <w:tmpl w:val="67FA5E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E07161C"/>
    <w:multiLevelType w:val="hybridMultilevel"/>
    <w:tmpl w:val="B364B78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83C81842">
      <w:start w:val="1"/>
      <w:numFmt w:val="bullet"/>
      <w:lvlText w:val="-"/>
      <w:lvlJc w:val="left"/>
      <w:pPr>
        <w:ind w:left="1980" w:hanging="360"/>
      </w:pPr>
      <w:rPr>
        <w:rFonts w:ascii="Aptos" w:eastAsiaTheme="minorHAnsi" w:hAnsi="Aptos" w:cstheme="minorBidi" w:hint="default"/>
      </w:rPr>
    </w:lvl>
    <w:lvl w:ilvl="3" w:tplc="7BB660B0">
      <w:start w:val="1"/>
      <w:numFmt w:val="lowerRoman"/>
      <w:lvlText w:val="(%4)"/>
      <w:lvlJc w:val="left"/>
      <w:pPr>
        <w:ind w:left="2880" w:hanging="72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E9A385F"/>
    <w:multiLevelType w:val="hybridMultilevel"/>
    <w:tmpl w:val="0D944F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64091721">
    <w:abstractNumId w:val="3"/>
  </w:num>
  <w:num w:numId="2" w16cid:durableId="1154955023">
    <w:abstractNumId w:val="16"/>
  </w:num>
  <w:num w:numId="3" w16cid:durableId="1869950891">
    <w:abstractNumId w:val="13"/>
  </w:num>
  <w:num w:numId="4" w16cid:durableId="682821616">
    <w:abstractNumId w:val="20"/>
  </w:num>
  <w:num w:numId="5" w16cid:durableId="1163011994">
    <w:abstractNumId w:val="26"/>
  </w:num>
  <w:num w:numId="6" w16cid:durableId="236522362">
    <w:abstractNumId w:val="36"/>
  </w:num>
  <w:num w:numId="7" w16cid:durableId="1799836831">
    <w:abstractNumId w:val="34"/>
  </w:num>
  <w:num w:numId="8" w16cid:durableId="1627468837">
    <w:abstractNumId w:val="5"/>
  </w:num>
  <w:num w:numId="9" w16cid:durableId="115409668">
    <w:abstractNumId w:val="18"/>
  </w:num>
  <w:num w:numId="10" w16cid:durableId="772167288">
    <w:abstractNumId w:val="9"/>
  </w:num>
  <w:num w:numId="11" w16cid:durableId="695664741">
    <w:abstractNumId w:val="32"/>
  </w:num>
  <w:num w:numId="12" w16cid:durableId="770509178">
    <w:abstractNumId w:val="7"/>
  </w:num>
  <w:num w:numId="13" w16cid:durableId="720834156">
    <w:abstractNumId w:val="8"/>
  </w:num>
  <w:num w:numId="14" w16cid:durableId="994262219">
    <w:abstractNumId w:val="17"/>
  </w:num>
  <w:num w:numId="15" w16cid:durableId="2094278521">
    <w:abstractNumId w:val="37"/>
  </w:num>
  <w:num w:numId="16" w16cid:durableId="1974015267">
    <w:abstractNumId w:val="1"/>
  </w:num>
  <w:num w:numId="17" w16cid:durableId="355350053">
    <w:abstractNumId w:val="29"/>
  </w:num>
  <w:num w:numId="18" w16cid:durableId="319501878">
    <w:abstractNumId w:val="4"/>
  </w:num>
  <w:num w:numId="19" w16cid:durableId="501892163">
    <w:abstractNumId w:val="12"/>
  </w:num>
  <w:num w:numId="20" w16cid:durableId="1112169496">
    <w:abstractNumId w:val="24"/>
  </w:num>
  <w:num w:numId="21" w16cid:durableId="568229072">
    <w:abstractNumId w:val="23"/>
  </w:num>
  <w:num w:numId="22" w16cid:durableId="1707556892">
    <w:abstractNumId w:val="0"/>
  </w:num>
  <w:num w:numId="23" w16cid:durableId="760835294">
    <w:abstractNumId w:val="21"/>
  </w:num>
  <w:num w:numId="24" w16cid:durableId="661465567">
    <w:abstractNumId w:val="10"/>
  </w:num>
  <w:num w:numId="25" w16cid:durableId="898051641">
    <w:abstractNumId w:val="19"/>
  </w:num>
  <w:num w:numId="26" w16cid:durableId="2146046845">
    <w:abstractNumId w:val="14"/>
  </w:num>
  <w:num w:numId="27" w16cid:durableId="349572542">
    <w:abstractNumId w:val="22"/>
  </w:num>
  <w:num w:numId="28" w16cid:durableId="2119643793">
    <w:abstractNumId w:val="6"/>
  </w:num>
  <w:num w:numId="29" w16cid:durableId="1297448092">
    <w:abstractNumId w:val="35"/>
  </w:num>
  <w:num w:numId="30" w16cid:durableId="301350782">
    <w:abstractNumId w:val="28"/>
  </w:num>
  <w:num w:numId="31" w16cid:durableId="723063761">
    <w:abstractNumId w:val="27"/>
  </w:num>
  <w:num w:numId="32" w16cid:durableId="231934110">
    <w:abstractNumId w:val="33"/>
  </w:num>
  <w:num w:numId="33" w16cid:durableId="746995804">
    <w:abstractNumId w:val="15"/>
  </w:num>
  <w:num w:numId="34" w16cid:durableId="1174951912">
    <w:abstractNumId w:val="25"/>
  </w:num>
  <w:num w:numId="35" w16cid:durableId="1887793637">
    <w:abstractNumId w:val="31"/>
  </w:num>
  <w:num w:numId="36" w16cid:durableId="644891191">
    <w:abstractNumId w:val="30"/>
  </w:num>
  <w:num w:numId="37" w16cid:durableId="471797327">
    <w:abstractNumId w:val="11"/>
  </w:num>
  <w:num w:numId="38" w16cid:durableId="1001087132">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5F"/>
    <w:rsid w:val="00002107"/>
    <w:rsid w:val="000041F8"/>
    <w:rsid w:val="00011F9D"/>
    <w:rsid w:val="000145C6"/>
    <w:rsid w:val="0001489E"/>
    <w:rsid w:val="00014BCF"/>
    <w:rsid w:val="000222B4"/>
    <w:rsid w:val="00027435"/>
    <w:rsid w:val="000357A1"/>
    <w:rsid w:val="00036BC0"/>
    <w:rsid w:val="00037FEA"/>
    <w:rsid w:val="00051938"/>
    <w:rsid w:val="000604E7"/>
    <w:rsid w:val="000637E9"/>
    <w:rsid w:val="00065C93"/>
    <w:rsid w:val="00071E28"/>
    <w:rsid w:val="00072A79"/>
    <w:rsid w:val="00073BAD"/>
    <w:rsid w:val="00074544"/>
    <w:rsid w:val="0007524D"/>
    <w:rsid w:val="0007614B"/>
    <w:rsid w:val="00076BBD"/>
    <w:rsid w:val="00077F8C"/>
    <w:rsid w:val="000828D6"/>
    <w:rsid w:val="0008461A"/>
    <w:rsid w:val="00085D2F"/>
    <w:rsid w:val="00095549"/>
    <w:rsid w:val="000955BF"/>
    <w:rsid w:val="000A0D5E"/>
    <w:rsid w:val="000A5C99"/>
    <w:rsid w:val="000B0D0C"/>
    <w:rsid w:val="000B14CC"/>
    <w:rsid w:val="000B696C"/>
    <w:rsid w:val="000B7AEB"/>
    <w:rsid w:val="000D3F5E"/>
    <w:rsid w:val="000E56C4"/>
    <w:rsid w:val="000E644C"/>
    <w:rsid w:val="000F210B"/>
    <w:rsid w:val="000F4A95"/>
    <w:rsid w:val="00104564"/>
    <w:rsid w:val="00105CC2"/>
    <w:rsid w:val="00106F74"/>
    <w:rsid w:val="001136D4"/>
    <w:rsid w:val="00117992"/>
    <w:rsid w:val="00121AF5"/>
    <w:rsid w:val="00125E0F"/>
    <w:rsid w:val="00126F32"/>
    <w:rsid w:val="001313C7"/>
    <w:rsid w:val="00131BA9"/>
    <w:rsid w:val="001325DF"/>
    <w:rsid w:val="00132AE9"/>
    <w:rsid w:val="0014082B"/>
    <w:rsid w:val="00142023"/>
    <w:rsid w:val="0014502E"/>
    <w:rsid w:val="001460E5"/>
    <w:rsid w:val="00150240"/>
    <w:rsid w:val="001561C6"/>
    <w:rsid w:val="0016723A"/>
    <w:rsid w:val="001678C4"/>
    <w:rsid w:val="00167C6A"/>
    <w:rsid w:val="00173B98"/>
    <w:rsid w:val="0018012D"/>
    <w:rsid w:val="001824A0"/>
    <w:rsid w:val="00184391"/>
    <w:rsid w:val="00184620"/>
    <w:rsid w:val="00192FE2"/>
    <w:rsid w:val="0019508C"/>
    <w:rsid w:val="001A3E2E"/>
    <w:rsid w:val="001A4751"/>
    <w:rsid w:val="001A4975"/>
    <w:rsid w:val="001A6D22"/>
    <w:rsid w:val="001A78E7"/>
    <w:rsid w:val="001A79D8"/>
    <w:rsid w:val="001B0988"/>
    <w:rsid w:val="001B1E05"/>
    <w:rsid w:val="001B3EB5"/>
    <w:rsid w:val="001B58EE"/>
    <w:rsid w:val="001B7F33"/>
    <w:rsid w:val="001C28BF"/>
    <w:rsid w:val="001C5C55"/>
    <w:rsid w:val="001D0FD5"/>
    <w:rsid w:val="001D151A"/>
    <w:rsid w:val="001E29BC"/>
    <w:rsid w:val="001E30F2"/>
    <w:rsid w:val="001E7B0B"/>
    <w:rsid w:val="001F02E8"/>
    <w:rsid w:val="001F0930"/>
    <w:rsid w:val="001F1E6C"/>
    <w:rsid w:val="001F3750"/>
    <w:rsid w:val="001F3F35"/>
    <w:rsid w:val="001F7FD8"/>
    <w:rsid w:val="00203B4F"/>
    <w:rsid w:val="0020419F"/>
    <w:rsid w:val="00205D47"/>
    <w:rsid w:val="00206EE8"/>
    <w:rsid w:val="002070B8"/>
    <w:rsid w:val="00207C3F"/>
    <w:rsid w:val="00210432"/>
    <w:rsid w:val="00210786"/>
    <w:rsid w:val="00216E58"/>
    <w:rsid w:val="00220C5C"/>
    <w:rsid w:val="00222145"/>
    <w:rsid w:val="002246C3"/>
    <w:rsid w:val="002253CE"/>
    <w:rsid w:val="002256BA"/>
    <w:rsid w:val="00234278"/>
    <w:rsid w:val="0024062A"/>
    <w:rsid w:val="002470E4"/>
    <w:rsid w:val="00247F83"/>
    <w:rsid w:val="002510A4"/>
    <w:rsid w:val="002528F8"/>
    <w:rsid w:val="002536D6"/>
    <w:rsid w:val="0025501F"/>
    <w:rsid w:val="0025567E"/>
    <w:rsid w:val="00255E0C"/>
    <w:rsid w:val="002637D3"/>
    <w:rsid w:val="00264FC3"/>
    <w:rsid w:val="00267013"/>
    <w:rsid w:val="00270572"/>
    <w:rsid w:val="00275155"/>
    <w:rsid w:val="00277BE8"/>
    <w:rsid w:val="0028492D"/>
    <w:rsid w:val="00284DD8"/>
    <w:rsid w:val="0028767B"/>
    <w:rsid w:val="00287F82"/>
    <w:rsid w:val="00295ABB"/>
    <w:rsid w:val="00297092"/>
    <w:rsid w:val="002A49B6"/>
    <w:rsid w:val="002B19C3"/>
    <w:rsid w:val="002B28FB"/>
    <w:rsid w:val="002B3A32"/>
    <w:rsid w:val="002C13EF"/>
    <w:rsid w:val="002C46AC"/>
    <w:rsid w:val="002C50B7"/>
    <w:rsid w:val="002C5428"/>
    <w:rsid w:val="002C6ED1"/>
    <w:rsid w:val="002D57CF"/>
    <w:rsid w:val="002D704F"/>
    <w:rsid w:val="002E3867"/>
    <w:rsid w:val="002E4D04"/>
    <w:rsid w:val="002F0E29"/>
    <w:rsid w:val="002F31F8"/>
    <w:rsid w:val="002F6688"/>
    <w:rsid w:val="003006B6"/>
    <w:rsid w:val="00300881"/>
    <w:rsid w:val="00300A57"/>
    <w:rsid w:val="00310349"/>
    <w:rsid w:val="00313622"/>
    <w:rsid w:val="00316F33"/>
    <w:rsid w:val="003212EC"/>
    <w:rsid w:val="00326455"/>
    <w:rsid w:val="00327B78"/>
    <w:rsid w:val="00331BFA"/>
    <w:rsid w:val="003352AD"/>
    <w:rsid w:val="00336DDE"/>
    <w:rsid w:val="00336E4F"/>
    <w:rsid w:val="00340324"/>
    <w:rsid w:val="00340353"/>
    <w:rsid w:val="003429AC"/>
    <w:rsid w:val="00344823"/>
    <w:rsid w:val="00345DCC"/>
    <w:rsid w:val="0035272E"/>
    <w:rsid w:val="00352A74"/>
    <w:rsid w:val="003576A1"/>
    <w:rsid w:val="00357E65"/>
    <w:rsid w:val="00365776"/>
    <w:rsid w:val="00370CED"/>
    <w:rsid w:val="003719CE"/>
    <w:rsid w:val="00372E38"/>
    <w:rsid w:val="003739A5"/>
    <w:rsid w:val="0037611B"/>
    <w:rsid w:val="003761B6"/>
    <w:rsid w:val="0038096A"/>
    <w:rsid w:val="0038124C"/>
    <w:rsid w:val="00384D37"/>
    <w:rsid w:val="00385910"/>
    <w:rsid w:val="00390B02"/>
    <w:rsid w:val="00394A25"/>
    <w:rsid w:val="00394E25"/>
    <w:rsid w:val="00395D37"/>
    <w:rsid w:val="00395DBB"/>
    <w:rsid w:val="00396E23"/>
    <w:rsid w:val="003A0810"/>
    <w:rsid w:val="003A1D79"/>
    <w:rsid w:val="003A4DBD"/>
    <w:rsid w:val="003B6E4B"/>
    <w:rsid w:val="003C570F"/>
    <w:rsid w:val="003C78EE"/>
    <w:rsid w:val="003E11B3"/>
    <w:rsid w:val="003E5A69"/>
    <w:rsid w:val="003E7788"/>
    <w:rsid w:val="003E7880"/>
    <w:rsid w:val="003F1AD8"/>
    <w:rsid w:val="003F4A1C"/>
    <w:rsid w:val="003F6D4C"/>
    <w:rsid w:val="003F7B1C"/>
    <w:rsid w:val="00400C0E"/>
    <w:rsid w:val="00405B93"/>
    <w:rsid w:val="004077BB"/>
    <w:rsid w:val="004108BD"/>
    <w:rsid w:val="0041372B"/>
    <w:rsid w:val="00414BD5"/>
    <w:rsid w:val="00415597"/>
    <w:rsid w:val="00420DB4"/>
    <w:rsid w:val="00421E29"/>
    <w:rsid w:val="00425BA2"/>
    <w:rsid w:val="00433571"/>
    <w:rsid w:val="0043386A"/>
    <w:rsid w:val="004367EE"/>
    <w:rsid w:val="004413E7"/>
    <w:rsid w:val="00443065"/>
    <w:rsid w:val="00443D91"/>
    <w:rsid w:val="00445BC2"/>
    <w:rsid w:val="00450B29"/>
    <w:rsid w:val="004511D1"/>
    <w:rsid w:val="00456D0B"/>
    <w:rsid w:val="00464000"/>
    <w:rsid w:val="00467EFC"/>
    <w:rsid w:val="004765A4"/>
    <w:rsid w:val="00480A44"/>
    <w:rsid w:val="00481C66"/>
    <w:rsid w:val="00483B5F"/>
    <w:rsid w:val="00484817"/>
    <w:rsid w:val="004848AC"/>
    <w:rsid w:val="004A0F70"/>
    <w:rsid w:val="004A5214"/>
    <w:rsid w:val="004B24FE"/>
    <w:rsid w:val="004B2C05"/>
    <w:rsid w:val="004B6D25"/>
    <w:rsid w:val="004C131F"/>
    <w:rsid w:val="004C19D2"/>
    <w:rsid w:val="004C45CA"/>
    <w:rsid w:val="004C5D34"/>
    <w:rsid w:val="004C5F35"/>
    <w:rsid w:val="004C7556"/>
    <w:rsid w:val="004D1A82"/>
    <w:rsid w:val="004D3F81"/>
    <w:rsid w:val="004D4723"/>
    <w:rsid w:val="004D7042"/>
    <w:rsid w:val="004E1AA2"/>
    <w:rsid w:val="004E3E7B"/>
    <w:rsid w:val="004F2C54"/>
    <w:rsid w:val="005036EE"/>
    <w:rsid w:val="005058B6"/>
    <w:rsid w:val="005074E1"/>
    <w:rsid w:val="00513C1D"/>
    <w:rsid w:val="00514D64"/>
    <w:rsid w:val="005223DF"/>
    <w:rsid w:val="00532861"/>
    <w:rsid w:val="0053596C"/>
    <w:rsid w:val="00536C5F"/>
    <w:rsid w:val="005413A2"/>
    <w:rsid w:val="00543EAA"/>
    <w:rsid w:val="00544D6B"/>
    <w:rsid w:val="00545F98"/>
    <w:rsid w:val="005476F3"/>
    <w:rsid w:val="005501A3"/>
    <w:rsid w:val="00553BDF"/>
    <w:rsid w:val="0056152D"/>
    <w:rsid w:val="00573406"/>
    <w:rsid w:val="005749E9"/>
    <w:rsid w:val="00581AFD"/>
    <w:rsid w:val="005824F7"/>
    <w:rsid w:val="00583281"/>
    <w:rsid w:val="005844A4"/>
    <w:rsid w:val="005854A4"/>
    <w:rsid w:val="005875AA"/>
    <w:rsid w:val="005934A7"/>
    <w:rsid w:val="00596883"/>
    <w:rsid w:val="005969EF"/>
    <w:rsid w:val="005A464D"/>
    <w:rsid w:val="005B08A6"/>
    <w:rsid w:val="005B222D"/>
    <w:rsid w:val="005B2C7B"/>
    <w:rsid w:val="005C1E6B"/>
    <w:rsid w:val="005C337E"/>
    <w:rsid w:val="005C7DCC"/>
    <w:rsid w:val="005D1F80"/>
    <w:rsid w:val="005D4BDA"/>
    <w:rsid w:val="005E3336"/>
    <w:rsid w:val="005E5294"/>
    <w:rsid w:val="005E5E0A"/>
    <w:rsid w:val="005E6438"/>
    <w:rsid w:val="005E7806"/>
    <w:rsid w:val="005F56AC"/>
    <w:rsid w:val="00603130"/>
    <w:rsid w:val="00604123"/>
    <w:rsid w:val="006046FB"/>
    <w:rsid w:val="0060598A"/>
    <w:rsid w:val="00610E8F"/>
    <w:rsid w:val="006120E5"/>
    <w:rsid w:val="0061699A"/>
    <w:rsid w:val="00625D7E"/>
    <w:rsid w:val="00631872"/>
    <w:rsid w:val="00634334"/>
    <w:rsid w:val="00636433"/>
    <w:rsid w:val="00637039"/>
    <w:rsid w:val="00640F51"/>
    <w:rsid w:val="00645B91"/>
    <w:rsid w:val="00651BE4"/>
    <w:rsid w:val="006553D7"/>
    <w:rsid w:val="00661EB3"/>
    <w:rsid w:val="00662DC0"/>
    <w:rsid w:val="006654D0"/>
    <w:rsid w:val="00666A13"/>
    <w:rsid w:val="00670DB6"/>
    <w:rsid w:val="00671252"/>
    <w:rsid w:val="006749A0"/>
    <w:rsid w:val="00676581"/>
    <w:rsid w:val="0069072E"/>
    <w:rsid w:val="00695E08"/>
    <w:rsid w:val="006A4744"/>
    <w:rsid w:val="006A57A8"/>
    <w:rsid w:val="006A6E3B"/>
    <w:rsid w:val="006B36E2"/>
    <w:rsid w:val="006B3C60"/>
    <w:rsid w:val="006B5AB2"/>
    <w:rsid w:val="006C30BA"/>
    <w:rsid w:val="006C5F57"/>
    <w:rsid w:val="006C61C0"/>
    <w:rsid w:val="006C7EE1"/>
    <w:rsid w:val="006D0DAA"/>
    <w:rsid w:val="006D23A8"/>
    <w:rsid w:val="006D36B1"/>
    <w:rsid w:val="006D79D0"/>
    <w:rsid w:val="006F142B"/>
    <w:rsid w:val="006F62A0"/>
    <w:rsid w:val="006F73A5"/>
    <w:rsid w:val="00701239"/>
    <w:rsid w:val="00702B84"/>
    <w:rsid w:val="007047CE"/>
    <w:rsid w:val="007048E6"/>
    <w:rsid w:val="00707887"/>
    <w:rsid w:val="007155E1"/>
    <w:rsid w:val="00715F29"/>
    <w:rsid w:val="00716347"/>
    <w:rsid w:val="007164C4"/>
    <w:rsid w:val="00717E08"/>
    <w:rsid w:val="007205D8"/>
    <w:rsid w:val="007216FA"/>
    <w:rsid w:val="00723AA0"/>
    <w:rsid w:val="00725DA1"/>
    <w:rsid w:val="00726233"/>
    <w:rsid w:val="007303E5"/>
    <w:rsid w:val="007304F9"/>
    <w:rsid w:val="00735A03"/>
    <w:rsid w:val="007416B1"/>
    <w:rsid w:val="00750493"/>
    <w:rsid w:val="0075168E"/>
    <w:rsid w:val="00755489"/>
    <w:rsid w:val="00761DDB"/>
    <w:rsid w:val="00762211"/>
    <w:rsid w:val="007631DA"/>
    <w:rsid w:val="00774394"/>
    <w:rsid w:val="007854B5"/>
    <w:rsid w:val="00786382"/>
    <w:rsid w:val="007877B7"/>
    <w:rsid w:val="00790B52"/>
    <w:rsid w:val="007913FA"/>
    <w:rsid w:val="00791956"/>
    <w:rsid w:val="007941D4"/>
    <w:rsid w:val="00797294"/>
    <w:rsid w:val="0079755F"/>
    <w:rsid w:val="00797E04"/>
    <w:rsid w:val="007A02C7"/>
    <w:rsid w:val="007A099D"/>
    <w:rsid w:val="007A1C1D"/>
    <w:rsid w:val="007A3C96"/>
    <w:rsid w:val="007A5D83"/>
    <w:rsid w:val="007A6953"/>
    <w:rsid w:val="007B023C"/>
    <w:rsid w:val="007B1276"/>
    <w:rsid w:val="007B1EEA"/>
    <w:rsid w:val="007B2422"/>
    <w:rsid w:val="007B2DED"/>
    <w:rsid w:val="007B3149"/>
    <w:rsid w:val="007B4C65"/>
    <w:rsid w:val="007B7890"/>
    <w:rsid w:val="007C30AB"/>
    <w:rsid w:val="007C4ECC"/>
    <w:rsid w:val="007C57F6"/>
    <w:rsid w:val="007D1D28"/>
    <w:rsid w:val="007D52DA"/>
    <w:rsid w:val="007D5D0D"/>
    <w:rsid w:val="007D689E"/>
    <w:rsid w:val="007E4F0B"/>
    <w:rsid w:val="007E71FB"/>
    <w:rsid w:val="007F476C"/>
    <w:rsid w:val="007F4B0A"/>
    <w:rsid w:val="007F61E4"/>
    <w:rsid w:val="00805A9D"/>
    <w:rsid w:val="00814166"/>
    <w:rsid w:val="008146B6"/>
    <w:rsid w:val="00814B3D"/>
    <w:rsid w:val="00815382"/>
    <w:rsid w:val="00815E4F"/>
    <w:rsid w:val="00816561"/>
    <w:rsid w:val="008165D1"/>
    <w:rsid w:val="00821022"/>
    <w:rsid w:val="00822DB5"/>
    <w:rsid w:val="00823D54"/>
    <w:rsid w:val="008343F0"/>
    <w:rsid w:val="008478D5"/>
    <w:rsid w:val="00853D57"/>
    <w:rsid w:val="00855097"/>
    <w:rsid w:val="008558BB"/>
    <w:rsid w:val="00857695"/>
    <w:rsid w:val="008578BC"/>
    <w:rsid w:val="008636F5"/>
    <w:rsid w:val="0086581A"/>
    <w:rsid w:val="00866BDD"/>
    <w:rsid w:val="00866DBC"/>
    <w:rsid w:val="008746DD"/>
    <w:rsid w:val="00875766"/>
    <w:rsid w:val="0087749F"/>
    <w:rsid w:val="00882BCB"/>
    <w:rsid w:val="008910FE"/>
    <w:rsid w:val="0089181D"/>
    <w:rsid w:val="00893F5F"/>
    <w:rsid w:val="0089589E"/>
    <w:rsid w:val="00896210"/>
    <w:rsid w:val="008A4287"/>
    <w:rsid w:val="008A5D24"/>
    <w:rsid w:val="008B4FCD"/>
    <w:rsid w:val="008C0C99"/>
    <w:rsid w:val="008C7C05"/>
    <w:rsid w:val="008D0505"/>
    <w:rsid w:val="008D14E3"/>
    <w:rsid w:val="008D242F"/>
    <w:rsid w:val="008E41FA"/>
    <w:rsid w:val="008F101D"/>
    <w:rsid w:val="008F38FF"/>
    <w:rsid w:val="008F3E0A"/>
    <w:rsid w:val="00901286"/>
    <w:rsid w:val="009045DE"/>
    <w:rsid w:val="00906421"/>
    <w:rsid w:val="00907D78"/>
    <w:rsid w:val="0091082A"/>
    <w:rsid w:val="009146C8"/>
    <w:rsid w:val="00915479"/>
    <w:rsid w:val="00922C1E"/>
    <w:rsid w:val="0092332F"/>
    <w:rsid w:val="009318ED"/>
    <w:rsid w:val="00932973"/>
    <w:rsid w:val="00932A96"/>
    <w:rsid w:val="00933D4E"/>
    <w:rsid w:val="009355B0"/>
    <w:rsid w:val="0093688F"/>
    <w:rsid w:val="009400DE"/>
    <w:rsid w:val="0094081F"/>
    <w:rsid w:val="00942883"/>
    <w:rsid w:val="00947CE9"/>
    <w:rsid w:val="00951B85"/>
    <w:rsid w:val="00953541"/>
    <w:rsid w:val="00954954"/>
    <w:rsid w:val="00956571"/>
    <w:rsid w:val="00961468"/>
    <w:rsid w:val="00964088"/>
    <w:rsid w:val="00966CFE"/>
    <w:rsid w:val="0097024F"/>
    <w:rsid w:val="0097036D"/>
    <w:rsid w:val="00971245"/>
    <w:rsid w:val="0097268F"/>
    <w:rsid w:val="00972F52"/>
    <w:rsid w:val="009768B3"/>
    <w:rsid w:val="009770CD"/>
    <w:rsid w:val="009802AE"/>
    <w:rsid w:val="0098210B"/>
    <w:rsid w:val="0098313B"/>
    <w:rsid w:val="009850B2"/>
    <w:rsid w:val="009872E7"/>
    <w:rsid w:val="00992CA2"/>
    <w:rsid w:val="009935BB"/>
    <w:rsid w:val="0099414B"/>
    <w:rsid w:val="009944E2"/>
    <w:rsid w:val="009946AB"/>
    <w:rsid w:val="009946FB"/>
    <w:rsid w:val="00997D55"/>
    <w:rsid w:val="009A1049"/>
    <w:rsid w:val="009A6F54"/>
    <w:rsid w:val="009A7B51"/>
    <w:rsid w:val="009B27EF"/>
    <w:rsid w:val="009B567E"/>
    <w:rsid w:val="009B60AE"/>
    <w:rsid w:val="009C0334"/>
    <w:rsid w:val="009C1899"/>
    <w:rsid w:val="009D1106"/>
    <w:rsid w:val="009D2CBD"/>
    <w:rsid w:val="009D2E80"/>
    <w:rsid w:val="009D3B92"/>
    <w:rsid w:val="009D45F0"/>
    <w:rsid w:val="009E0411"/>
    <w:rsid w:val="009E1709"/>
    <w:rsid w:val="009E485F"/>
    <w:rsid w:val="009E65F4"/>
    <w:rsid w:val="009F2EC2"/>
    <w:rsid w:val="009F41DC"/>
    <w:rsid w:val="009F55B9"/>
    <w:rsid w:val="009F580C"/>
    <w:rsid w:val="009F5F82"/>
    <w:rsid w:val="009F6B9E"/>
    <w:rsid w:val="00A0442C"/>
    <w:rsid w:val="00A11309"/>
    <w:rsid w:val="00A126AB"/>
    <w:rsid w:val="00A14553"/>
    <w:rsid w:val="00A155A3"/>
    <w:rsid w:val="00A164F9"/>
    <w:rsid w:val="00A20B10"/>
    <w:rsid w:val="00A2176A"/>
    <w:rsid w:val="00A23585"/>
    <w:rsid w:val="00A2486B"/>
    <w:rsid w:val="00A27B4A"/>
    <w:rsid w:val="00A331F6"/>
    <w:rsid w:val="00A345F9"/>
    <w:rsid w:val="00A37ED8"/>
    <w:rsid w:val="00A419CA"/>
    <w:rsid w:val="00A50CB3"/>
    <w:rsid w:val="00A5650F"/>
    <w:rsid w:val="00A579A4"/>
    <w:rsid w:val="00A60FFE"/>
    <w:rsid w:val="00A6108C"/>
    <w:rsid w:val="00A81D45"/>
    <w:rsid w:val="00A84B09"/>
    <w:rsid w:val="00A86A41"/>
    <w:rsid w:val="00A90DD0"/>
    <w:rsid w:val="00A936D3"/>
    <w:rsid w:val="00A93B45"/>
    <w:rsid w:val="00A967AB"/>
    <w:rsid w:val="00AA0F30"/>
    <w:rsid w:val="00AA2CB9"/>
    <w:rsid w:val="00AA32EA"/>
    <w:rsid w:val="00AA3567"/>
    <w:rsid w:val="00AA62F7"/>
    <w:rsid w:val="00AB0AE0"/>
    <w:rsid w:val="00AB2902"/>
    <w:rsid w:val="00AB2983"/>
    <w:rsid w:val="00AB75D6"/>
    <w:rsid w:val="00AB76F5"/>
    <w:rsid w:val="00AB7F3D"/>
    <w:rsid w:val="00AD2953"/>
    <w:rsid w:val="00AD2FFC"/>
    <w:rsid w:val="00AD4571"/>
    <w:rsid w:val="00AD4A09"/>
    <w:rsid w:val="00AD51BB"/>
    <w:rsid w:val="00AE33D9"/>
    <w:rsid w:val="00AE37EC"/>
    <w:rsid w:val="00AE6B89"/>
    <w:rsid w:val="00AF3B44"/>
    <w:rsid w:val="00AF4B2C"/>
    <w:rsid w:val="00AF5612"/>
    <w:rsid w:val="00B0153F"/>
    <w:rsid w:val="00B035A7"/>
    <w:rsid w:val="00B04F5F"/>
    <w:rsid w:val="00B05382"/>
    <w:rsid w:val="00B066BD"/>
    <w:rsid w:val="00B06B5C"/>
    <w:rsid w:val="00B0718E"/>
    <w:rsid w:val="00B07CD4"/>
    <w:rsid w:val="00B1067E"/>
    <w:rsid w:val="00B10F2E"/>
    <w:rsid w:val="00B1258B"/>
    <w:rsid w:val="00B12DCA"/>
    <w:rsid w:val="00B139F4"/>
    <w:rsid w:val="00B152AC"/>
    <w:rsid w:val="00B178C3"/>
    <w:rsid w:val="00B20A86"/>
    <w:rsid w:val="00B230B2"/>
    <w:rsid w:val="00B313C3"/>
    <w:rsid w:val="00B32A8A"/>
    <w:rsid w:val="00B33243"/>
    <w:rsid w:val="00B336FE"/>
    <w:rsid w:val="00B33C0E"/>
    <w:rsid w:val="00B352A7"/>
    <w:rsid w:val="00B35A1E"/>
    <w:rsid w:val="00B366AF"/>
    <w:rsid w:val="00B36A3C"/>
    <w:rsid w:val="00B37913"/>
    <w:rsid w:val="00B42949"/>
    <w:rsid w:val="00B4451D"/>
    <w:rsid w:val="00B503C0"/>
    <w:rsid w:val="00B506DD"/>
    <w:rsid w:val="00B51E6C"/>
    <w:rsid w:val="00B53A41"/>
    <w:rsid w:val="00B57CDD"/>
    <w:rsid w:val="00B57D71"/>
    <w:rsid w:val="00B616F7"/>
    <w:rsid w:val="00B643A5"/>
    <w:rsid w:val="00B64702"/>
    <w:rsid w:val="00B66AF3"/>
    <w:rsid w:val="00B7078A"/>
    <w:rsid w:val="00B753F5"/>
    <w:rsid w:val="00B75947"/>
    <w:rsid w:val="00B7630F"/>
    <w:rsid w:val="00B77870"/>
    <w:rsid w:val="00B816E4"/>
    <w:rsid w:val="00B8230C"/>
    <w:rsid w:val="00B90170"/>
    <w:rsid w:val="00B92FB0"/>
    <w:rsid w:val="00B94C6A"/>
    <w:rsid w:val="00B95C14"/>
    <w:rsid w:val="00B97F3A"/>
    <w:rsid w:val="00BA0193"/>
    <w:rsid w:val="00BA10A0"/>
    <w:rsid w:val="00BA505A"/>
    <w:rsid w:val="00BB5164"/>
    <w:rsid w:val="00BB6380"/>
    <w:rsid w:val="00BC3DA3"/>
    <w:rsid w:val="00BC65D8"/>
    <w:rsid w:val="00BC6A06"/>
    <w:rsid w:val="00BD19F0"/>
    <w:rsid w:val="00BD26CD"/>
    <w:rsid w:val="00BD5919"/>
    <w:rsid w:val="00BD6222"/>
    <w:rsid w:val="00BE07A8"/>
    <w:rsid w:val="00BE3586"/>
    <w:rsid w:val="00BF690D"/>
    <w:rsid w:val="00C1000E"/>
    <w:rsid w:val="00C13461"/>
    <w:rsid w:val="00C22402"/>
    <w:rsid w:val="00C274B0"/>
    <w:rsid w:val="00C27F17"/>
    <w:rsid w:val="00C34AC9"/>
    <w:rsid w:val="00C37628"/>
    <w:rsid w:val="00C41EE9"/>
    <w:rsid w:val="00C423BC"/>
    <w:rsid w:val="00C43ED5"/>
    <w:rsid w:val="00C477E0"/>
    <w:rsid w:val="00C52F8B"/>
    <w:rsid w:val="00C531EF"/>
    <w:rsid w:val="00C5435D"/>
    <w:rsid w:val="00C548E5"/>
    <w:rsid w:val="00C57874"/>
    <w:rsid w:val="00C6200A"/>
    <w:rsid w:val="00C62DE0"/>
    <w:rsid w:val="00C634F7"/>
    <w:rsid w:val="00C75BD6"/>
    <w:rsid w:val="00C77CE3"/>
    <w:rsid w:val="00C81DC2"/>
    <w:rsid w:val="00C849BE"/>
    <w:rsid w:val="00C85006"/>
    <w:rsid w:val="00C8554B"/>
    <w:rsid w:val="00C859E4"/>
    <w:rsid w:val="00C86FD5"/>
    <w:rsid w:val="00C91CCC"/>
    <w:rsid w:val="00C91F4E"/>
    <w:rsid w:val="00C92302"/>
    <w:rsid w:val="00CA14E5"/>
    <w:rsid w:val="00CA18C6"/>
    <w:rsid w:val="00CA282E"/>
    <w:rsid w:val="00CA2B3B"/>
    <w:rsid w:val="00CA3E62"/>
    <w:rsid w:val="00CA476C"/>
    <w:rsid w:val="00CA49DF"/>
    <w:rsid w:val="00CA6053"/>
    <w:rsid w:val="00CB29B1"/>
    <w:rsid w:val="00CB2B33"/>
    <w:rsid w:val="00CB2E8D"/>
    <w:rsid w:val="00CB3123"/>
    <w:rsid w:val="00CB37D6"/>
    <w:rsid w:val="00CB3E27"/>
    <w:rsid w:val="00CB59A7"/>
    <w:rsid w:val="00CB7627"/>
    <w:rsid w:val="00CC057A"/>
    <w:rsid w:val="00CC127E"/>
    <w:rsid w:val="00CC5D1C"/>
    <w:rsid w:val="00CC6237"/>
    <w:rsid w:val="00CC694D"/>
    <w:rsid w:val="00CD01F8"/>
    <w:rsid w:val="00CD0681"/>
    <w:rsid w:val="00CD13A3"/>
    <w:rsid w:val="00CD2054"/>
    <w:rsid w:val="00CD251E"/>
    <w:rsid w:val="00CD73D6"/>
    <w:rsid w:val="00CE0979"/>
    <w:rsid w:val="00CE313A"/>
    <w:rsid w:val="00CE3707"/>
    <w:rsid w:val="00CE4889"/>
    <w:rsid w:val="00CE59CC"/>
    <w:rsid w:val="00CE699C"/>
    <w:rsid w:val="00CF1D82"/>
    <w:rsid w:val="00CF4DF2"/>
    <w:rsid w:val="00D01C2C"/>
    <w:rsid w:val="00D125A5"/>
    <w:rsid w:val="00D144E4"/>
    <w:rsid w:val="00D14D1A"/>
    <w:rsid w:val="00D16EC6"/>
    <w:rsid w:val="00D240EF"/>
    <w:rsid w:val="00D256A2"/>
    <w:rsid w:val="00D25DA1"/>
    <w:rsid w:val="00D30EB4"/>
    <w:rsid w:val="00D3369A"/>
    <w:rsid w:val="00D36E37"/>
    <w:rsid w:val="00D42D96"/>
    <w:rsid w:val="00D43E28"/>
    <w:rsid w:val="00D46F56"/>
    <w:rsid w:val="00D50B9B"/>
    <w:rsid w:val="00D5522D"/>
    <w:rsid w:val="00D55428"/>
    <w:rsid w:val="00D5581E"/>
    <w:rsid w:val="00D62F00"/>
    <w:rsid w:val="00D6382E"/>
    <w:rsid w:val="00D6569C"/>
    <w:rsid w:val="00D71949"/>
    <w:rsid w:val="00D74FCD"/>
    <w:rsid w:val="00D85E4B"/>
    <w:rsid w:val="00D97AA2"/>
    <w:rsid w:val="00DA0A4F"/>
    <w:rsid w:val="00DA0F4C"/>
    <w:rsid w:val="00DA101B"/>
    <w:rsid w:val="00DB08CD"/>
    <w:rsid w:val="00DB5CBC"/>
    <w:rsid w:val="00DB70A8"/>
    <w:rsid w:val="00DC17EA"/>
    <w:rsid w:val="00DC390A"/>
    <w:rsid w:val="00DC3AE1"/>
    <w:rsid w:val="00DC43FB"/>
    <w:rsid w:val="00DC7212"/>
    <w:rsid w:val="00DD0DED"/>
    <w:rsid w:val="00DD4DCB"/>
    <w:rsid w:val="00DD659C"/>
    <w:rsid w:val="00DD6F26"/>
    <w:rsid w:val="00DE196D"/>
    <w:rsid w:val="00DE2B00"/>
    <w:rsid w:val="00DE4A49"/>
    <w:rsid w:val="00DE52A6"/>
    <w:rsid w:val="00DE66CE"/>
    <w:rsid w:val="00DF047B"/>
    <w:rsid w:val="00E06AD5"/>
    <w:rsid w:val="00E11BB5"/>
    <w:rsid w:val="00E121B0"/>
    <w:rsid w:val="00E127E0"/>
    <w:rsid w:val="00E21C31"/>
    <w:rsid w:val="00E2234A"/>
    <w:rsid w:val="00E24177"/>
    <w:rsid w:val="00E278F0"/>
    <w:rsid w:val="00E31825"/>
    <w:rsid w:val="00E3188E"/>
    <w:rsid w:val="00E33479"/>
    <w:rsid w:val="00E34218"/>
    <w:rsid w:val="00E34C4E"/>
    <w:rsid w:val="00E355AA"/>
    <w:rsid w:val="00E4381A"/>
    <w:rsid w:val="00E457C1"/>
    <w:rsid w:val="00E476A0"/>
    <w:rsid w:val="00E50720"/>
    <w:rsid w:val="00E51847"/>
    <w:rsid w:val="00E51B94"/>
    <w:rsid w:val="00E5514F"/>
    <w:rsid w:val="00E63BF9"/>
    <w:rsid w:val="00E6493B"/>
    <w:rsid w:val="00E727C8"/>
    <w:rsid w:val="00E72866"/>
    <w:rsid w:val="00E72A67"/>
    <w:rsid w:val="00E737DF"/>
    <w:rsid w:val="00E754F2"/>
    <w:rsid w:val="00E83910"/>
    <w:rsid w:val="00E83D27"/>
    <w:rsid w:val="00E86CD0"/>
    <w:rsid w:val="00E87A43"/>
    <w:rsid w:val="00E91C0B"/>
    <w:rsid w:val="00E92DE5"/>
    <w:rsid w:val="00E92F37"/>
    <w:rsid w:val="00E9434E"/>
    <w:rsid w:val="00E9477E"/>
    <w:rsid w:val="00E95B35"/>
    <w:rsid w:val="00E9646B"/>
    <w:rsid w:val="00EA2CA1"/>
    <w:rsid w:val="00EA73BD"/>
    <w:rsid w:val="00EB0D07"/>
    <w:rsid w:val="00EB20A4"/>
    <w:rsid w:val="00EB2B88"/>
    <w:rsid w:val="00EB3A91"/>
    <w:rsid w:val="00EB48B7"/>
    <w:rsid w:val="00EC358B"/>
    <w:rsid w:val="00EC55E7"/>
    <w:rsid w:val="00ED058A"/>
    <w:rsid w:val="00ED0772"/>
    <w:rsid w:val="00ED2554"/>
    <w:rsid w:val="00EE0D39"/>
    <w:rsid w:val="00EE0E06"/>
    <w:rsid w:val="00EE1F98"/>
    <w:rsid w:val="00EE21F5"/>
    <w:rsid w:val="00EE490B"/>
    <w:rsid w:val="00EE69B1"/>
    <w:rsid w:val="00EF0355"/>
    <w:rsid w:val="00EF094A"/>
    <w:rsid w:val="00F03BE0"/>
    <w:rsid w:val="00F10CBE"/>
    <w:rsid w:val="00F21BBF"/>
    <w:rsid w:val="00F2277E"/>
    <w:rsid w:val="00F24A5C"/>
    <w:rsid w:val="00F3029F"/>
    <w:rsid w:val="00F32774"/>
    <w:rsid w:val="00F34E7E"/>
    <w:rsid w:val="00F406AC"/>
    <w:rsid w:val="00F45418"/>
    <w:rsid w:val="00F4564C"/>
    <w:rsid w:val="00F45C8D"/>
    <w:rsid w:val="00F52AD6"/>
    <w:rsid w:val="00F537A7"/>
    <w:rsid w:val="00F53FC6"/>
    <w:rsid w:val="00F55812"/>
    <w:rsid w:val="00F55BC3"/>
    <w:rsid w:val="00F5645E"/>
    <w:rsid w:val="00F605CA"/>
    <w:rsid w:val="00F6216B"/>
    <w:rsid w:val="00F626DE"/>
    <w:rsid w:val="00F644AC"/>
    <w:rsid w:val="00F709A3"/>
    <w:rsid w:val="00F72A70"/>
    <w:rsid w:val="00F73F69"/>
    <w:rsid w:val="00F743FE"/>
    <w:rsid w:val="00F75D3C"/>
    <w:rsid w:val="00F762E0"/>
    <w:rsid w:val="00F810C0"/>
    <w:rsid w:val="00F815BD"/>
    <w:rsid w:val="00F8459C"/>
    <w:rsid w:val="00F84D0D"/>
    <w:rsid w:val="00F86804"/>
    <w:rsid w:val="00F87EAD"/>
    <w:rsid w:val="00F93F13"/>
    <w:rsid w:val="00FA10D7"/>
    <w:rsid w:val="00FA437C"/>
    <w:rsid w:val="00FA576D"/>
    <w:rsid w:val="00FA5954"/>
    <w:rsid w:val="00FB3C09"/>
    <w:rsid w:val="00FB6699"/>
    <w:rsid w:val="00FB6D1D"/>
    <w:rsid w:val="00FC13C8"/>
    <w:rsid w:val="00FC1F92"/>
    <w:rsid w:val="00FD07D9"/>
    <w:rsid w:val="00FD277E"/>
    <w:rsid w:val="00FD5FED"/>
    <w:rsid w:val="00FE176A"/>
    <w:rsid w:val="00FE17CE"/>
    <w:rsid w:val="00FF0F21"/>
    <w:rsid w:val="00FF1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F0D5D"/>
  <w15:chartTrackingRefBased/>
  <w15:docId w15:val="{668B5580-2EEC-4686-B267-CC928348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5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75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975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975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5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5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975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975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975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5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55F"/>
    <w:rPr>
      <w:rFonts w:eastAsiaTheme="majorEastAsia" w:cstheme="majorBidi"/>
      <w:color w:val="272727" w:themeColor="text1" w:themeTint="D8"/>
    </w:rPr>
  </w:style>
  <w:style w:type="paragraph" w:styleId="Title">
    <w:name w:val="Title"/>
    <w:basedOn w:val="Normal"/>
    <w:next w:val="Normal"/>
    <w:link w:val="TitleChar"/>
    <w:uiPriority w:val="10"/>
    <w:qFormat/>
    <w:rsid w:val="00797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55F"/>
    <w:pPr>
      <w:spacing w:before="160"/>
      <w:jc w:val="center"/>
    </w:pPr>
    <w:rPr>
      <w:i/>
      <w:iCs/>
      <w:color w:val="404040" w:themeColor="text1" w:themeTint="BF"/>
    </w:rPr>
  </w:style>
  <w:style w:type="character" w:customStyle="1" w:styleId="QuoteChar">
    <w:name w:val="Quote Char"/>
    <w:basedOn w:val="DefaultParagraphFont"/>
    <w:link w:val="Quote"/>
    <w:uiPriority w:val="29"/>
    <w:rsid w:val="0079755F"/>
    <w:rPr>
      <w:i/>
      <w:iCs/>
      <w:color w:val="404040" w:themeColor="text1" w:themeTint="BF"/>
    </w:rPr>
  </w:style>
  <w:style w:type="paragraph" w:styleId="ListParagraph">
    <w:name w:val="List Paragraph"/>
    <w:basedOn w:val="Normal"/>
    <w:uiPriority w:val="34"/>
    <w:qFormat/>
    <w:rsid w:val="0079755F"/>
    <w:pPr>
      <w:ind w:left="720"/>
      <w:contextualSpacing/>
    </w:pPr>
  </w:style>
  <w:style w:type="character" w:styleId="IntenseEmphasis">
    <w:name w:val="Intense Emphasis"/>
    <w:basedOn w:val="DefaultParagraphFont"/>
    <w:uiPriority w:val="21"/>
    <w:qFormat/>
    <w:rsid w:val="0079755F"/>
    <w:rPr>
      <w:i/>
      <w:iCs/>
      <w:color w:val="0F4761" w:themeColor="accent1" w:themeShade="BF"/>
    </w:rPr>
  </w:style>
  <w:style w:type="paragraph" w:styleId="IntenseQuote">
    <w:name w:val="Intense Quote"/>
    <w:basedOn w:val="Normal"/>
    <w:next w:val="Normal"/>
    <w:link w:val="IntenseQuoteChar"/>
    <w:uiPriority w:val="30"/>
    <w:qFormat/>
    <w:rsid w:val="007975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55F"/>
    <w:rPr>
      <w:i/>
      <w:iCs/>
      <w:color w:val="0F4761" w:themeColor="accent1" w:themeShade="BF"/>
    </w:rPr>
  </w:style>
  <w:style w:type="character" w:styleId="IntenseReference">
    <w:name w:val="Intense Reference"/>
    <w:basedOn w:val="DefaultParagraphFont"/>
    <w:uiPriority w:val="32"/>
    <w:qFormat/>
    <w:rsid w:val="0079755F"/>
    <w:rPr>
      <w:b/>
      <w:bCs/>
      <w:smallCaps/>
      <w:color w:val="0F4761" w:themeColor="accent1" w:themeShade="BF"/>
      <w:spacing w:val="5"/>
    </w:rPr>
  </w:style>
  <w:style w:type="table" w:styleId="TableGrid">
    <w:name w:val="Table Grid"/>
    <w:basedOn w:val="TableNormal"/>
    <w:uiPriority w:val="39"/>
    <w:rsid w:val="0095495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61B6"/>
    <w:rPr>
      <w:sz w:val="16"/>
      <w:szCs w:val="16"/>
    </w:rPr>
  </w:style>
  <w:style w:type="paragraph" w:styleId="CommentText">
    <w:name w:val="annotation text"/>
    <w:basedOn w:val="Normal"/>
    <w:link w:val="CommentTextChar"/>
    <w:uiPriority w:val="99"/>
    <w:unhideWhenUsed/>
    <w:rsid w:val="003761B6"/>
    <w:pPr>
      <w:spacing w:line="240" w:lineRule="auto"/>
    </w:pPr>
    <w:rPr>
      <w:sz w:val="20"/>
      <w:szCs w:val="20"/>
    </w:rPr>
  </w:style>
  <w:style w:type="character" w:customStyle="1" w:styleId="CommentTextChar">
    <w:name w:val="Comment Text Char"/>
    <w:basedOn w:val="DefaultParagraphFont"/>
    <w:link w:val="CommentText"/>
    <w:uiPriority w:val="99"/>
    <w:rsid w:val="003761B6"/>
    <w:rPr>
      <w:sz w:val="20"/>
      <w:szCs w:val="20"/>
    </w:rPr>
  </w:style>
  <w:style w:type="character" w:styleId="Hyperlink">
    <w:name w:val="Hyperlink"/>
    <w:basedOn w:val="DefaultParagraphFont"/>
    <w:uiPriority w:val="99"/>
    <w:unhideWhenUsed/>
    <w:rsid w:val="002470E4"/>
    <w:rPr>
      <w:color w:val="467886" w:themeColor="hyperlink"/>
      <w:u w:val="single"/>
    </w:rPr>
  </w:style>
  <w:style w:type="character" w:styleId="UnresolvedMention">
    <w:name w:val="Unresolved Mention"/>
    <w:basedOn w:val="DefaultParagraphFont"/>
    <w:uiPriority w:val="99"/>
    <w:semiHidden/>
    <w:unhideWhenUsed/>
    <w:rsid w:val="002470E4"/>
    <w:rPr>
      <w:color w:val="605E5C"/>
      <w:shd w:val="clear" w:color="auto" w:fill="E1DFDD"/>
    </w:rPr>
  </w:style>
  <w:style w:type="character" w:styleId="PlaceholderText">
    <w:name w:val="Placeholder Text"/>
    <w:basedOn w:val="DefaultParagraphFont"/>
    <w:uiPriority w:val="99"/>
    <w:semiHidden/>
    <w:rsid w:val="007B3149"/>
    <w:rPr>
      <w:color w:val="666666"/>
    </w:rPr>
  </w:style>
  <w:style w:type="paragraph" w:styleId="Caption">
    <w:name w:val="caption"/>
    <w:basedOn w:val="Normal"/>
    <w:next w:val="Normal"/>
    <w:uiPriority w:val="35"/>
    <w:unhideWhenUsed/>
    <w:qFormat/>
    <w:rsid w:val="00CD01F8"/>
    <w:pPr>
      <w:spacing w:after="200" w:line="240" w:lineRule="auto"/>
    </w:pPr>
    <w:rPr>
      <w:i/>
      <w:iCs/>
      <w:color w:val="0E2841" w:themeColor="text2"/>
      <w:sz w:val="18"/>
      <w:szCs w:val="18"/>
    </w:rPr>
  </w:style>
  <w:style w:type="character" w:customStyle="1" w:styleId="cf01">
    <w:name w:val="cf01"/>
    <w:basedOn w:val="DefaultParagraphFont"/>
    <w:rsid w:val="006F142B"/>
    <w:rPr>
      <w:rFonts w:ascii="Segoe UI" w:hAnsi="Segoe UI" w:cs="Segoe UI" w:hint="default"/>
      <w:sz w:val="18"/>
      <w:szCs w:val="18"/>
    </w:rPr>
  </w:style>
  <w:style w:type="character" w:styleId="FollowedHyperlink">
    <w:name w:val="FollowedHyperlink"/>
    <w:basedOn w:val="DefaultParagraphFont"/>
    <w:uiPriority w:val="99"/>
    <w:semiHidden/>
    <w:unhideWhenUsed/>
    <w:rsid w:val="00117992"/>
    <w:rPr>
      <w:color w:val="96607D" w:themeColor="followedHyperlink"/>
      <w:u w:val="single"/>
    </w:rPr>
  </w:style>
  <w:style w:type="character" w:customStyle="1" w:styleId="author">
    <w:name w:val="author"/>
    <w:basedOn w:val="DefaultParagraphFont"/>
    <w:rsid w:val="00942883"/>
  </w:style>
  <w:style w:type="character" w:customStyle="1" w:styleId="articletitle">
    <w:name w:val="articletitle"/>
    <w:basedOn w:val="DefaultParagraphFont"/>
    <w:rsid w:val="00942883"/>
  </w:style>
  <w:style w:type="character" w:customStyle="1" w:styleId="pubyear">
    <w:name w:val="pubyear"/>
    <w:basedOn w:val="DefaultParagraphFont"/>
    <w:rsid w:val="00942883"/>
  </w:style>
  <w:style w:type="character" w:customStyle="1" w:styleId="vol">
    <w:name w:val="vol"/>
    <w:basedOn w:val="DefaultParagraphFont"/>
    <w:rsid w:val="00942883"/>
  </w:style>
  <w:style w:type="character" w:customStyle="1" w:styleId="pagefirst">
    <w:name w:val="pagefirst"/>
    <w:basedOn w:val="DefaultParagraphFont"/>
    <w:rsid w:val="00942883"/>
  </w:style>
  <w:style w:type="character" w:customStyle="1" w:styleId="pagelast">
    <w:name w:val="pagelast"/>
    <w:basedOn w:val="DefaultParagraphFont"/>
    <w:rsid w:val="00942883"/>
  </w:style>
  <w:style w:type="paragraph" w:styleId="Revision">
    <w:name w:val="Revision"/>
    <w:hidden/>
    <w:uiPriority w:val="99"/>
    <w:semiHidden/>
    <w:rsid w:val="005C337E"/>
    <w:pPr>
      <w:spacing w:after="0" w:line="240" w:lineRule="auto"/>
    </w:pPr>
  </w:style>
  <w:style w:type="paragraph" w:styleId="CommentSubject">
    <w:name w:val="annotation subject"/>
    <w:basedOn w:val="CommentText"/>
    <w:next w:val="CommentText"/>
    <w:link w:val="CommentSubjectChar"/>
    <w:uiPriority w:val="99"/>
    <w:semiHidden/>
    <w:unhideWhenUsed/>
    <w:rsid w:val="00E34C4E"/>
    <w:rPr>
      <w:b/>
      <w:bCs/>
    </w:rPr>
  </w:style>
  <w:style w:type="character" w:customStyle="1" w:styleId="CommentSubjectChar">
    <w:name w:val="Comment Subject Char"/>
    <w:basedOn w:val="CommentTextChar"/>
    <w:link w:val="CommentSubject"/>
    <w:uiPriority w:val="99"/>
    <w:semiHidden/>
    <w:rsid w:val="00E34C4E"/>
    <w:rPr>
      <w:b/>
      <w:bCs/>
      <w:sz w:val="20"/>
      <w:szCs w:val="20"/>
    </w:rPr>
  </w:style>
  <w:style w:type="paragraph" w:styleId="NormalWeb">
    <w:name w:val="Normal (Web)"/>
    <w:basedOn w:val="Normal"/>
    <w:uiPriority w:val="99"/>
    <w:semiHidden/>
    <w:unhideWhenUsed/>
    <w:rsid w:val="00B066B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84249">
      <w:bodyDiv w:val="1"/>
      <w:marLeft w:val="0"/>
      <w:marRight w:val="0"/>
      <w:marTop w:val="0"/>
      <w:marBottom w:val="0"/>
      <w:divBdr>
        <w:top w:val="none" w:sz="0" w:space="0" w:color="auto"/>
        <w:left w:val="none" w:sz="0" w:space="0" w:color="auto"/>
        <w:bottom w:val="none" w:sz="0" w:space="0" w:color="auto"/>
        <w:right w:val="none" w:sz="0" w:space="0" w:color="auto"/>
      </w:divBdr>
    </w:div>
    <w:div w:id="408698739">
      <w:bodyDiv w:val="1"/>
      <w:marLeft w:val="0"/>
      <w:marRight w:val="0"/>
      <w:marTop w:val="0"/>
      <w:marBottom w:val="0"/>
      <w:divBdr>
        <w:top w:val="none" w:sz="0" w:space="0" w:color="auto"/>
        <w:left w:val="none" w:sz="0" w:space="0" w:color="auto"/>
        <w:bottom w:val="none" w:sz="0" w:space="0" w:color="auto"/>
        <w:right w:val="none" w:sz="0" w:space="0" w:color="auto"/>
      </w:divBdr>
    </w:div>
    <w:div w:id="465664786">
      <w:bodyDiv w:val="1"/>
      <w:marLeft w:val="0"/>
      <w:marRight w:val="0"/>
      <w:marTop w:val="0"/>
      <w:marBottom w:val="0"/>
      <w:divBdr>
        <w:top w:val="none" w:sz="0" w:space="0" w:color="auto"/>
        <w:left w:val="none" w:sz="0" w:space="0" w:color="auto"/>
        <w:bottom w:val="none" w:sz="0" w:space="0" w:color="auto"/>
        <w:right w:val="none" w:sz="0" w:space="0" w:color="auto"/>
      </w:divBdr>
    </w:div>
    <w:div w:id="1199857659">
      <w:bodyDiv w:val="1"/>
      <w:marLeft w:val="0"/>
      <w:marRight w:val="0"/>
      <w:marTop w:val="0"/>
      <w:marBottom w:val="0"/>
      <w:divBdr>
        <w:top w:val="none" w:sz="0" w:space="0" w:color="auto"/>
        <w:left w:val="none" w:sz="0" w:space="0" w:color="auto"/>
        <w:bottom w:val="none" w:sz="0" w:space="0" w:color="auto"/>
        <w:right w:val="none" w:sz="0" w:space="0" w:color="auto"/>
      </w:divBdr>
    </w:div>
    <w:div w:id="1420326173">
      <w:bodyDiv w:val="1"/>
      <w:marLeft w:val="0"/>
      <w:marRight w:val="0"/>
      <w:marTop w:val="0"/>
      <w:marBottom w:val="0"/>
      <w:divBdr>
        <w:top w:val="none" w:sz="0" w:space="0" w:color="auto"/>
        <w:left w:val="none" w:sz="0" w:space="0" w:color="auto"/>
        <w:bottom w:val="none" w:sz="0" w:space="0" w:color="auto"/>
        <w:right w:val="none" w:sz="0" w:space="0" w:color="auto"/>
      </w:divBdr>
    </w:div>
    <w:div w:id="152424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817619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1080/00031305.2020.1717620" TargetMode="External"/><Relationship Id="rId5" Type="http://schemas.openxmlformats.org/officeDocument/2006/relationships/webSettings" Target="webSettings.xml"/><Relationship Id="rId10" Type="http://schemas.openxmlformats.org/officeDocument/2006/relationships/hyperlink" Target="https://www.cysticfibrosis.org.uk/sites/default/files/2023-08/Annual%20review%20proforma%20-%20complete%20-%20June%202023.pdf" TargetMode="External"/><Relationship Id="rId4" Type="http://schemas.openxmlformats.org/officeDocument/2006/relationships/settings" Target="settings.xml"/><Relationship Id="rId9" Type="http://schemas.openxmlformats.org/officeDocument/2006/relationships/hyperlink" Target="https://doi.org/10.1183%2F13993003.01586-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D6FBF-E344-4130-BD43-A9FB0990135C}">
  <ds:schemaRefs>
    <ds:schemaRef ds:uri="http://schemas.openxmlformats.org/officeDocument/2006/bibliography"/>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Template>
  <TotalTime>1773</TotalTime>
  <Pages>21</Pages>
  <Words>9467</Words>
  <Characters>53962</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Granger</dc:creator>
  <cp:keywords/>
  <dc:description/>
  <cp:lastModifiedBy>Emily Granger</cp:lastModifiedBy>
  <cp:revision>122</cp:revision>
  <dcterms:created xsi:type="dcterms:W3CDTF">2025-04-04T10:47:00Z</dcterms:created>
  <dcterms:modified xsi:type="dcterms:W3CDTF">2025-04-08T14:48:00Z</dcterms:modified>
</cp:coreProperties>
</file>