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79A6" w14:textId="16FDC10C" w:rsidR="00C17017" w:rsidRPr="007C740F" w:rsidRDefault="00C17017" w:rsidP="00C17017">
      <w:pPr>
        <w:pStyle w:val="Title"/>
      </w:pPr>
      <w:r w:rsidRPr="007C740F">
        <w:t>Methods used in the Modell Database of Congenital Disorders (MGDb)</w:t>
      </w:r>
    </w:p>
    <w:p w14:paraId="357599A4" w14:textId="77777777" w:rsidR="00C17017" w:rsidRPr="007C740F" w:rsidRDefault="00C17017" w:rsidP="008F7CE1">
      <w:pPr>
        <w:pStyle w:val="Title"/>
        <w:rPr>
          <w:sz w:val="20"/>
          <w:szCs w:val="20"/>
        </w:rPr>
      </w:pPr>
    </w:p>
    <w:p w14:paraId="7B93F53A" w14:textId="0A4A9662" w:rsidR="00807348" w:rsidRPr="007C740F" w:rsidRDefault="002828C0" w:rsidP="008F7CE1">
      <w:pPr>
        <w:pStyle w:val="Title"/>
      </w:pPr>
      <w:r w:rsidRPr="007C740F">
        <w:t xml:space="preserve">1. </w:t>
      </w:r>
      <w:r w:rsidR="00A07E54" w:rsidRPr="007C740F">
        <w:t>Introduction</w:t>
      </w:r>
      <w:r w:rsidR="00543A42" w:rsidRPr="007C740F">
        <w:t>. S</w:t>
      </w:r>
      <w:r w:rsidR="00A07E54" w:rsidRPr="007C740F">
        <w:t>cope</w:t>
      </w:r>
      <w:r w:rsidR="00543A42" w:rsidRPr="007C740F">
        <w:t xml:space="preserve"> and general concepts</w:t>
      </w:r>
    </w:p>
    <w:p w14:paraId="7633AB4D" w14:textId="2BD404D9" w:rsidR="000F42EE" w:rsidRPr="007C740F" w:rsidRDefault="000F42EE" w:rsidP="000F42EE">
      <w:pPr>
        <w:pStyle w:val="BodyText1"/>
      </w:pPr>
      <w:r w:rsidRPr="007C740F">
        <w:t>B</w:t>
      </w:r>
      <w:r w:rsidR="00965B92" w:rsidRPr="007C740F">
        <w:t xml:space="preserve"> </w:t>
      </w:r>
      <w:r w:rsidRPr="007C740F">
        <w:t>Modell, S Moorthie, H Blencowe, M Petrou, M Darlison, J Lawn</w:t>
      </w:r>
      <w:r w:rsidR="00DF2071" w:rsidRPr="007C740F">
        <w:t>, HL Malherbe</w:t>
      </w:r>
    </w:p>
    <w:sdt>
      <w:sdtPr>
        <w:rPr>
          <w:rFonts w:asciiTheme="minorHAnsi" w:eastAsiaTheme="minorHAnsi" w:hAnsiTheme="minorHAnsi" w:cstheme="minorBidi"/>
          <w:color w:val="auto"/>
          <w:sz w:val="22"/>
          <w:szCs w:val="22"/>
          <w:lang w:val="en-GB"/>
        </w:rPr>
        <w:id w:val="1173842152"/>
        <w:docPartObj>
          <w:docPartGallery w:val="Table of Contents"/>
          <w:docPartUnique/>
        </w:docPartObj>
      </w:sdtPr>
      <w:sdtEndPr>
        <w:rPr>
          <w:b/>
          <w:bCs/>
          <w:noProof/>
        </w:rPr>
      </w:sdtEndPr>
      <w:sdtContent>
        <w:p w14:paraId="1FB47BD2" w14:textId="77777777" w:rsidR="008F7CE1" w:rsidRPr="007C740F" w:rsidRDefault="008F7CE1">
          <w:pPr>
            <w:pStyle w:val="TOCHeading"/>
          </w:pPr>
          <w:r w:rsidRPr="007C740F">
            <w:t>Contents</w:t>
          </w:r>
        </w:p>
        <w:p w14:paraId="27C11834" w14:textId="6AF3B8F6" w:rsidR="007C740F" w:rsidRPr="007C740F" w:rsidRDefault="008F7CE1">
          <w:pPr>
            <w:pStyle w:val="TOC1"/>
            <w:rPr>
              <w:rFonts w:eastAsiaTheme="minorEastAsia"/>
              <w:noProof/>
              <w:kern w:val="2"/>
              <w:sz w:val="24"/>
              <w:szCs w:val="24"/>
              <w:lang w:val="en-ZA" w:eastAsia="en-ZA"/>
              <w14:ligatures w14:val="standardContextual"/>
            </w:rPr>
          </w:pPr>
          <w:r w:rsidRPr="007C740F">
            <w:fldChar w:fldCharType="begin"/>
          </w:r>
          <w:r w:rsidRPr="007C740F">
            <w:instrText xml:space="preserve"> TOC \o "1-3" \h \z \u </w:instrText>
          </w:r>
          <w:r w:rsidRPr="007C740F">
            <w:fldChar w:fldCharType="separate"/>
          </w:r>
          <w:hyperlink w:anchor="_Toc193659654" w:history="1">
            <w:r w:rsidR="007C740F" w:rsidRPr="007C740F">
              <w:rPr>
                <w:rStyle w:val="Hyperlink"/>
                <w:noProof/>
              </w:rPr>
              <w:t>Abstract</w:t>
            </w:r>
            <w:r w:rsidR="007C740F" w:rsidRPr="007C740F">
              <w:rPr>
                <w:noProof/>
                <w:webHidden/>
              </w:rPr>
              <w:tab/>
            </w:r>
            <w:r w:rsidR="007C740F" w:rsidRPr="007C740F">
              <w:rPr>
                <w:noProof/>
                <w:webHidden/>
              </w:rPr>
              <w:fldChar w:fldCharType="begin"/>
            </w:r>
            <w:r w:rsidR="007C740F" w:rsidRPr="007C740F">
              <w:rPr>
                <w:noProof/>
                <w:webHidden/>
              </w:rPr>
              <w:instrText xml:space="preserve"> PAGEREF _Toc193659654 \h </w:instrText>
            </w:r>
            <w:r w:rsidR="007C740F" w:rsidRPr="007C740F">
              <w:rPr>
                <w:noProof/>
                <w:webHidden/>
              </w:rPr>
            </w:r>
            <w:r w:rsidR="007C740F" w:rsidRPr="007C740F">
              <w:rPr>
                <w:noProof/>
                <w:webHidden/>
              </w:rPr>
              <w:fldChar w:fldCharType="separate"/>
            </w:r>
            <w:r w:rsidR="007C740F" w:rsidRPr="007C740F">
              <w:rPr>
                <w:noProof/>
                <w:webHidden/>
              </w:rPr>
              <w:t>iii</w:t>
            </w:r>
            <w:r w:rsidR="007C740F" w:rsidRPr="007C740F">
              <w:rPr>
                <w:noProof/>
                <w:webHidden/>
              </w:rPr>
              <w:fldChar w:fldCharType="end"/>
            </w:r>
          </w:hyperlink>
        </w:p>
        <w:p w14:paraId="35CA4FFE" w14:textId="1AA7EEC2" w:rsidR="007C740F" w:rsidRPr="007C740F" w:rsidRDefault="007C740F">
          <w:pPr>
            <w:pStyle w:val="TOC1"/>
            <w:rPr>
              <w:rFonts w:eastAsiaTheme="minorEastAsia"/>
              <w:noProof/>
              <w:kern w:val="2"/>
              <w:sz w:val="24"/>
              <w:szCs w:val="24"/>
              <w:lang w:val="en-ZA" w:eastAsia="en-ZA"/>
              <w14:ligatures w14:val="standardContextual"/>
            </w:rPr>
          </w:pPr>
          <w:hyperlink w:anchor="_Toc193659655" w:history="1">
            <w:r w:rsidRPr="007C740F">
              <w:rPr>
                <w:rStyle w:val="Hyperlink"/>
                <w:noProof/>
              </w:rPr>
              <w:t>Introduction</w:t>
            </w:r>
            <w:r w:rsidRPr="007C740F">
              <w:rPr>
                <w:noProof/>
                <w:webHidden/>
              </w:rPr>
              <w:tab/>
            </w:r>
            <w:r w:rsidRPr="007C740F">
              <w:rPr>
                <w:noProof/>
                <w:webHidden/>
              </w:rPr>
              <w:fldChar w:fldCharType="begin"/>
            </w:r>
            <w:r w:rsidRPr="007C740F">
              <w:rPr>
                <w:noProof/>
                <w:webHidden/>
              </w:rPr>
              <w:instrText xml:space="preserve"> PAGEREF _Toc193659655 \h </w:instrText>
            </w:r>
            <w:r w:rsidRPr="007C740F">
              <w:rPr>
                <w:noProof/>
                <w:webHidden/>
              </w:rPr>
            </w:r>
            <w:r w:rsidRPr="007C740F">
              <w:rPr>
                <w:noProof/>
                <w:webHidden/>
              </w:rPr>
              <w:fldChar w:fldCharType="separate"/>
            </w:r>
            <w:r w:rsidRPr="007C740F">
              <w:rPr>
                <w:noProof/>
                <w:webHidden/>
              </w:rPr>
              <w:t>1</w:t>
            </w:r>
            <w:r w:rsidRPr="007C740F">
              <w:rPr>
                <w:noProof/>
                <w:webHidden/>
              </w:rPr>
              <w:fldChar w:fldCharType="end"/>
            </w:r>
          </w:hyperlink>
        </w:p>
        <w:p w14:paraId="2D6B9998" w14:textId="42CDB7BF"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56" w:history="1">
            <w:r w:rsidRPr="007C740F">
              <w:rPr>
                <w:rStyle w:val="Hyperlink"/>
                <w:noProof/>
              </w:rPr>
              <w:t>Disorder groups included in the MGDb</w:t>
            </w:r>
            <w:r w:rsidRPr="007C740F">
              <w:rPr>
                <w:noProof/>
                <w:webHidden/>
              </w:rPr>
              <w:tab/>
            </w:r>
            <w:r w:rsidRPr="007C740F">
              <w:rPr>
                <w:noProof/>
                <w:webHidden/>
              </w:rPr>
              <w:fldChar w:fldCharType="begin"/>
            </w:r>
            <w:r w:rsidRPr="007C740F">
              <w:rPr>
                <w:noProof/>
                <w:webHidden/>
              </w:rPr>
              <w:instrText xml:space="preserve"> PAGEREF _Toc193659656 \h </w:instrText>
            </w:r>
            <w:r w:rsidRPr="007C740F">
              <w:rPr>
                <w:noProof/>
                <w:webHidden/>
              </w:rPr>
            </w:r>
            <w:r w:rsidRPr="007C740F">
              <w:rPr>
                <w:noProof/>
                <w:webHidden/>
              </w:rPr>
              <w:fldChar w:fldCharType="separate"/>
            </w:r>
            <w:r w:rsidRPr="007C740F">
              <w:rPr>
                <w:noProof/>
                <w:webHidden/>
              </w:rPr>
              <w:t>2</w:t>
            </w:r>
            <w:r w:rsidRPr="007C740F">
              <w:rPr>
                <w:noProof/>
                <w:webHidden/>
              </w:rPr>
              <w:fldChar w:fldCharType="end"/>
            </w:r>
          </w:hyperlink>
        </w:p>
        <w:p w14:paraId="13F0194A" w14:textId="65DD70C3"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57" w:history="1">
            <w:r w:rsidRPr="007C740F">
              <w:rPr>
                <w:rStyle w:val="Hyperlink"/>
                <w:noProof/>
              </w:rPr>
              <w:t>The importance of the baseline birth prevalence</w:t>
            </w:r>
            <w:r w:rsidRPr="007C740F">
              <w:rPr>
                <w:noProof/>
                <w:webHidden/>
              </w:rPr>
              <w:tab/>
            </w:r>
            <w:r w:rsidRPr="007C740F">
              <w:rPr>
                <w:noProof/>
                <w:webHidden/>
              </w:rPr>
              <w:fldChar w:fldCharType="begin"/>
            </w:r>
            <w:r w:rsidRPr="007C740F">
              <w:rPr>
                <w:noProof/>
                <w:webHidden/>
              </w:rPr>
              <w:instrText xml:space="preserve"> PAGEREF _Toc193659657 \h </w:instrText>
            </w:r>
            <w:r w:rsidRPr="007C740F">
              <w:rPr>
                <w:noProof/>
                <w:webHidden/>
              </w:rPr>
            </w:r>
            <w:r w:rsidRPr="007C740F">
              <w:rPr>
                <w:noProof/>
                <w:webHidden/>
              </w:rPr>
              <w:fldChar w:fldCharType="separate"/>
            </w:r>
            <w:r w:rsidRPr="007C740F">
              <w:rPr>
                <w:noProof/>
                <w:webHidden/>
              </w:rPr>
              <w:t>2</w:t>
            </w:r>
            <w:r w:rsidRPr="007C740F">
              <w:rPr>
                <w:noProof/>
                <w:webHidden/>
              </w:rPr>
              <w:fldChar w:fldCharType="end"/>
            </w:r>
          </w:hyperlink>
        </w:p>
        <w:p w14:paraId="7D06E0C7" w14:textId="2CB5AA66"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58" w:history="1">
            <w:r w:rsidRPr="007C740F">
              <w:rPr>
                <w:rStyle w:val="Hyperlink"/>
                <w:noProof/>
                <w:lang w:eastAsia="en-GB"/>
              </w:rPr>
              <w:t>The need for consensus on a terminology for congenital disorders</w:t>
            </w:r>
            <w:r w:rsidRPr="007C740F">
              <w:rPr>
                <w:noProof/>
                <w:webHidden/>
              </w:rPr>
              <w:tab/>
            </w:r>
            <w:r w:rsidRPr="007C740F">
              <w:rPr>
                <w:noProof/>
                <w:webHidden/>
              </w:rPr>
              <w:fldChar w:fldCharType="begin"/>
            </w:r>
            <w:r w:rsidRPr="007C740F">
              <w:rPr>
                <w:noProof/>
                <w:webHidden/>
              </w:rPr>
              <w:instrText xml:space="preserve"> PAGEREF _Toc193659658 \h </w:instrText>
            </w:r>
            <w:r w:rsidRPr="007C740F">
              <w:rPr>
                <w:noProof/>
                <w:webHidden/>
              </w:rPr>
            </w:r>
            <w:r w:rsidRPr="007C740F">
              <w:rPr>
                <w:noProof/>
                <w:webHidden/>
              </w:rPr>
              <w:fldChar w:fldCharType="separate"/>
            </w:r>
            <w:r w:rsidRPr="007C740F">
              <w:rPr>
                <w:noProof/>
                <w:webHidden/>
              </w:rPr>
              <w:t>2</w:t>
            </w:r>
            <w:r w:rsidRPr="007C740F">
              <w:rPr>
                <w:noProof/>
                <w:webHidden/>
              </w:rPr>
              <w:fldChar w:fldCharType="end"/>
            </w:r>
          </w:hyperlink>
        </w:p>
        <w:p w14:paraId="0BEA3BA4" w14:textId="23D19808"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59" w:history="1">
            <w:r w:rsidRPr="007C740F">
              <w:rPr>
                <w:rStyle w:val="Hyperlink"/>
                <w:noProof/>
              </w:rPr>
              <w:t>The place of environmental congenital disorders</w:t>
            </w:r>
            <w:r w:rsidRPr="007C740F">
              <w:rPr>
                <w:noProof/>
                <w:webHidden/>
              </w:rPr>
              <w:tab/>
            </w:r>
            <w:r w:rsidRPr="007C740F">
              <w:rPr>
                <w:noProof/>
                <w:webHidden/>
              </w:rPr>
              <w:fldChar w:fldCharType="begin"/>
            </w:r>
            <w:r w:rsidRPr="007C740F">
              <w:rPr>
                <w:noProof/>
                <w:webHidden/>
              </w:rPr>
              <w:instrText xml:space="preserve"> PAGEREF _Toc193659659 \h </w:instrText>
            </w:r>
            <w:r w:rsidRPr="007C740F">
              <w:rPr>
                <w:noProof/>
                <w:webHidden/>
              </w:rPr>
            </w:r>
            <w:r w:rsidRPr="007C740F">
              <w:rPr>
                <w:noProof/>
                <w:webHidden/>
              </w:rPr>
              <w:fldChar w:fldCharType="separate"/>
            </w:r>
            <w:r w:rsidRPr="007C740F">
              <w:rPr>
                <w:noProof/>
                <w:webHidden/>
              </w:rPr>
              <w:t>3</w:t>
            </w:r>
            <w:r w:rsidRPr="007C740F">
              <w:rPr>
                <w:noProof/>
                <w:webHidden/>
              </w:rPr>
              <w:fldChar w:fldCharType="end"/>
            </w:r>
          </w:hyperlink>
        </w:p>
        <w:p w14:paraId="33FEB41B" w14:textId="51688094"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60" w:history="1">
            <w:r w:rsidRPr="007C740F">
              <w:rPr>
                <w:rStyle w:val="Hyperlink"/>
                <w:noProof/>
              </w:rPr>
              <w:t>Historical background</w:t>
            </w:r>
            <w:r w:rsidRPr="007C740F">
              <w:rPr>
                <w:noProof/>
                <w:webHidden/>
              </w:rPr>
              <w:tab/>
            </w:r>
            <w:r w:rsidRPr="007C740F">
              <w:rPr>
                <w:noProof/>
                <w:webHidden/>
              </w:rPr>
              <w:fldChar w:fldCharType="begin"/>
            </w:r>
            <w:r w:rsidRPr="007C740F">
              <w:rPr>
                <w:noProof/>
                <w:webHidden/>
              </w:rPr>
              <w:instrText xml:space="preserve"> PAGEREF _Toc193659660 \h </w:instrText>
            </w:r>
            <w:r w:rsidRPr="007C740F">
              <w:rPr>
                <w:noProof/>
                <w:webHidden/>
              </w:rPr>
            </w:r>
            <w:r w:rsidRPr="007C740F">
              <w:rPr>
                <w:noProof/>
                <w:webHidden/>
              </w:rPr>
              <w:fldChar w:fldCharType="separate"/>
            </w:r>
            <w:r w:rsidRPr="007C740F">
              <w:rPr>
                <w:noProof/>
                <w:webHidden/>
              </w:rPr>
              <w:t>3</w:t>
            </w:r>
            <w:r w:rsidRPr="007C740F">
              <w:rPr>
                <w:noProof/>
                <w:webHidden/>
              </w:rPr>
              <w:fldChar w:fldCharType="end"/>
            </w:r>
          </w:hyperlink>
        </w:p>
        <w:p w14:paraId="4D504C1F" w14:textId="536D814A"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61" w:history="1">
            <w:r w:rsidRPr="007C740F">
              <w:rPr>
                <w:rStyle w:val="Hyperlink"/>
                <w:noProof/>
              </w:rPr>
              <w:t>Epidemiological studies</w:t>
            </w:r>
            <w:r w:rsidRPr="007C740F">
              <w:rPr>
                <w:noProof/>
                <w:webHidden/>
              </w:rPr>
              <w:tab/>
            </w:r>
            <w:r w:rsidRPr="007C740F">
              <w:rPr>
                <w:noProof/>
                <w:webHidden/>
              </w:rPr>
              <w:fldChar w:fldCharType="begin"/>
            </w:r>
            <w:r w:rsidRPr="007C740F">
              <w:rPr>
                <w:noProof/>
                <w:webHidden/>
              </w:rPr>
              <w:instrText xml:space="preserve"> PAGEREF _Toc193659661 \h </w:instrText>
            </w:r>
            <w:r w:rsidRPr="007C740F">
              <w:rPr>
                <w:noProof/>
                <w:webHidden/>
              </w:rPr>
            </w:r>
            <w:r w:rsidRPr="007C740F">
              <w:rPr>
                <w:noProof/>
                <w:webHidden/>
              </w:rPr>
              <w:fldChar w:fldCharType="separate"/>
            </w:r>
            <w:r w:rsidRPr="007C740F">
              <w:rPr>
                <w:noProof/>
                <w:webHidden/>
              </w:rPr>
              <w:t>4</w:t>
            </w:r>
            <w:r w:rsidRPr="007C740F">
              <w:rPr>
                <w:noProof/>
                <w:webHidden/>
              </w:rPr>
              <w:fldChar w:fldCharType="end"/>
            </w:r>
          </w:hyperlink>
        </w:p>
        <w:p w14:paraId="1C8512B6" w14:textId="0825729A"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62" w:history="1">
            <w:r w:rsidRPr="007C740F">
              <w:rPr>
                <w:rStyle w:val="Hyperlink"/>
                <w:noProof/>
              </w:rPr>
              <w:t>Congenital anomaly registries</w:t>
            </w:r>
            <w:r w:rsidRPr="007C740F">
              <w:rPr>
                <w:noProof/>
                <w:webHidden/>
              </w:rPr>
              <w:tab/>
            </w:r>
            <w:r w:rsidRPr="007C740F">
              <w:rPr>
                <w:noProof/>
                <w:webHidden/>
              </w:rPr>
              <w:fldChar w:fldCharType="begin"/>
            </w:r>
            <w:r w:rsidRPr="007C740F">
              <w:rPr>
                <w:noProof/>
                <w:webHidden/>
              </w:rPr>
              <w:instrText xml:space="preserve"> PAGEREF _Toc193659662 \h </w:instrText>
            </w:r>
            <w:r w:rsidRPr="007C740F">
              <w:rPr>
                <w:noProof/>
                <w:webHidden/>
              </w:rPr>
            </w:r>
            <w:r w:rsidRPr="007C740F">
              <w:rPr>
                <w:noProof/>
                <w:webHidden/>
              </w:rPr>
              <w:fldChar w:fldCharType="separate"/>
            </w:r>
            <w:r w:rsidRPr="007C740F">
              <w:rPr>
                <w:noProof/>
                <w:webHidden/>
              </w:rPr>
              <w:t>4</w:t>
            </w:r>
            <w:r w:rsidRPr="007C740F">
              <w:rPr>
                <w:noProof/>
                <w:webHidden/>
              </w:rPr>
              <w:fldChar w:fldCharType="end"/>
            </w:r>
          </w:hyperlink>
        </w:p>
        <w:p w14:paraId="382B949A" w14:textId="3724EDF7"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63" w:history="1">
            <w:r w:rsidRPr="007C740F">
              <w:rPr>
                <w:rStyle w:val="Hyperlink"/>
                <w:noProof/>
              </w:rPr>
              <w:t>Databases of genetically-determined disorders</w:t>
            </w:r>
            <w:r w:rsidRPr="007C740F">
              <w:rPr>
                <w:noProof/>
                <w:webHidden/>
              </w:rPr>
              <w:tab/>
            </w:r>
            <w:r w:rsidRPr="007C740F">
              <w:rPr>
                <w:noProof/>
                <w:webHidden/>
              </w:rPr>
              <w:fldChar w:fldCharType="begin"/>
            </w:r>
            <w:r w:rsidRPr="007C740F">
              <w:rPr>
                <w:noProof/>
                <w:webHidden/>
              </w:rPr>
              <w:instrText xml:space="preserve"> PAGEREF _Toc193659663 \h </w:instrText>
            </w:r>
            <w:r w:rsidRPr="007C740F">
              <w:rPr>
                <w:noProof/>
                <w:webHidden/>
              </w:rPr>
            </w:r>
            <w:r w:rsidRPr="007C740F">
              <w:rPr>
                <w:noProof/>
                <w:webHidden/>
              </w:rPr>
              <w:fldChar w:fldCharType="separate"/>
            </w:r>
            <w:r w:rsidRPr="007C740F">
              <w:rPr>
                <w:noProof/>
                <w:webHidden/>
              </w:rPr>
              <w:t>5</w:t>
            </w:r>
            <w:r w:rsidRPr="007C740F">
              <w:rPr>
                <w:noProof/>
                <w:webHidden/>
              </w:rPr>
              <w:fldChar w:fldCharType="end"/>
            </w:r>
          </w:hyperlink>
        </w:p>
        <w:p w14:paraId="7AF0B288" w14:textId="23AACEF2"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64" w:history="1">
            <w:r w:rsidRPr="007C740F">
              <w:rPr>
                <w:rStyle w:val="Hyperlink"/>
                <w:noProof/>
              </w:rPr>
              <w:t>Developing the principles of Community Genetics</w:t>
            </w:r>
            <w:r w:rsidRPr="007C740F">
              <w:rPr>
                <w:noProof/>
                <w:webHidden/>
              </w:rPr>
              <w:tab/>
            </w:r>
            <w:r w:rsidRPr="007C740F">
              <w:rPr>
                <w:noProof/>
                <w:webHidden/>
              </w:rPr>
              <w:fldChar w:fldCharType="begin"/>
            </w:r>
            <w:r w:rsidRPr="007C740F">
              <w:rPr>
                <w:noProof/>
                <w:webHidden/>
              </w:rPr>
              <w:instrText xml:space="preserve"> PAGEREF _Toc193659664 \h </w:instrText>
            </w:r>
            <w:r w:rsidRPr="007C740F">
              <w:rPr>
                <w:noProof/>
                <w:webHidden/>
              </w:rPr>
            </w:r>
            <w:r w:rsidRPr="007C740F">
              <w:rPr>
                <w:noProof/>
                <w:webHidden/>
              </w:rPr>
              <w:fldChar w:fldCharType="separate"/>
            </w:r>
            <w:r w:rsidRPr="007C740F">
              <w:rPr>
                <w:noProof/>
                <w:webHidden/>
              </w:rPr>
              <w:t>6</w:t>
            </w:r>
            <w:r w:rsidRPr="007C740F">
              <w:rPr>
                <w:noProof/>
                <w:webHidden/>
              </w:rPr>
              <w:fldChar w:fldCharType="end"/>
            </w:r>
          </w:hyperlink>
        </w:p>
        <w:p w14:paraId="7EFDFC65" w14:textId="1D7AAC9C" w:rsidR="007C740F" w:rsidRPr="007C740F" w:rsidRDefault="007C740F">
          <w:pPr>
            <w:pStyle w:val="TOC1"/>
            <w:rPr>
              <w:rFonts w:eastAsiaTheme="minorEastAsia"/>
              <w:noProof/>
              <w:kern w:val="2"/>
              <w:sz w:val="24"/>
              <w:szCs w:val="24"/>
              <w:lang w:val="en-ZA" w:eastAsia="en-ZA"/>
              <w14:ligatures w14:val="standardContextual"/>
            </w:rPr>
          </w:pPr>
          <w:hyperlink w:anchor="_Toc193659665" w:history="1">
            <w:r w:rsidRPr="007C740F">
              <w:rPr>
                <w:rStyle w:val="Hyperlink"/>
                <w:noProof/>
              </w:rPr>
              <w:t>The general method</w:t>
            </w:r>
            <w:r w:rsidRPr="007C740F">
              <w:rPr>
                <w:noProof/>
                <w:webHidden/>
              </w:rPr>
              <w:tab/>
            </w:r>
            <w:r w:rsidRPr="007C740F">
              <w:rPr>
                <w:noProof/>
                <w:webHidden/>
              </w:rPr>
              <w:fldChar w:fldCharType="begin"/>
            </w:r>
            <w:r w:rsidRPr="007C740F">
              <w:rPr>
                <w:noProof/>
                <w:webHidden/>
              </w:rPr>
              <w:instrText xml:space="preserve"> PAGEREF _Toc193659665 \h </w:instrText>
            </w:r>
            <w:r w:rsidRPr="007C740F">
              <w:rPr>
                <w:noProof/>
                <w:webHidden/>
              </w:rPr>
            </w:r>
            <w:r w:rsidRPr="007C740F">
              <w:rPr>
                <w:noProof/>
                <w:webHidden/>
              </w:rPr>
              <w:fldChar w:fldCharType="separate"/>
            </w:r>
            <w:r w:rsidRPr="007C740F">
              <w:rPr>
                <w:noProof/>
                <w:webHidden/>
              </w:rPr>
              <w:t>7</w:t>
            </w:r>
            <w:r w:rsidRPr="007C740F">
              <w:rPr>
                <w:noProof/>
                <w:webHidden/>
              </w:rPr>
              <w:fldChar w:fldCharType="end"/>
            </w:r>
          </w:hyperlink>
        </w:p>
        <w:p w14:paraId="70C8AB98" w14:textId="247B4C32"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66" w:history="1">
            <w:r w:rsidRPr="007C740F">
              <w:rPr>
                <w:rStyle w:val="Hyperlink"/>
                <w:noProof/>
              </w:rPr>
              <w:t>Assessing the power of interventions</w:t>
            </w:r>
            <w:r w:rsidRPr="007C740F">
              <w:rPr>
                <w:noProof/>
                <w:webHidden/>
              </w:rPr>
              <w:tab/>
            </w:r>
            <w:r w:rsidRPr="007C740F">
              <w:rPr>
                <w:noProof/>
                <w:webHidden/>
              </w:rPr>
              <w:fldChar w:fldCharType="begin"/>
            </w:r>
            <w:r w:rsidRPr="007C740F">
              <w:rPr>
                <w:noProof/>
                <w:webHidden/>
              </w:rPr>
              <w:instrText xml:space="preserve"> PAGEREF _Toc193659666 \h </w:instrText>
            </w:r>
            <w:r w:rsidRPr="007C740F">
              <w:rPr>
                <w:noProof/>
                <w:webHidden/>
              </w:rPr>
            </w:r>
            <w:r w:rsidRPr="007C740F">
              <w:rPr>
                <w:noProof/>
                <w:webHidden/>
              </w:rPr>
              <w:fldChar w:fldCharType="separate"/>
            </w:r>
            <w:r w:rsidRPr="007C740F">
              <w:rPr>
                <w:noProof/>
                <w:webHidden/>
              </w:rPr>
              <w:t>8</w:t>
            </w:r>
            <w:r w:rsidRPr="007C740F">
              <w:rPr>
                <w:noProof/>
                <w:webHidden/>
              </w:rPr>
              <w:fldChar w:fldCharType="end"/>
            </w:r>
          </w:hyperlink>
        </w:p>
        <w:p w14:paraId="5D6BDEA1" w14:textId="3E4D5308"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67" w:history="1">
            <w:r w:rsidRPr="007C740F">
              <w:rPr>
                <w:rStyle w:val="Hyperlink"/>
                <w:noProof/>
              </w:rPr>
              <w:t>Achieving country-specific estimates of outcomes</w:t>
            </w:r>
            <w:r w:rsidRPr="007C740F">
              <w:rPr>
                <w:noProof/>
                <w:webHidden/>
              </w:rPr>
              <w:tab/>
            </w:r>
            <w:r w:rsidRPr="007C740F">
              <w:rPr>
                <w:noProof/>
                <w:webHidden/>
              </w:rPr>
              <w:fldChar w:fldCharType="begin"/>
            </w:r>
            <w:r w:rsidRPr="007C740F">
              <w:rPr>
                <w:noProof/>
                <w:webHidden/>
              </w:rPr>
              <w:instrText xml:space="preserve"> PAGEREF _Toc193659667 \h </w:instrText>
            </w:r>
            <w:r w:rsidRPr="007C740F">
              <w:rPr>
                <w:noProof/>
                <w:webHidden/>
              </w:rPr>
            </w:r>
            <w:r w:rsidRPr="007C740F">
              <w:rPr>
                <w:noProof/>
                <w:webHidden/>
              </w:rPr>
              <w:fldChar w:fldCharType="separate"/>
            </w:r>
            <w:r w:rsidRPr="007C740F">
              <w:rPr>
                <w:noProof/>
                <w:webHidden/>
              </w:rPr>
              <w:t>8</w:t>
            </w:r>
            <w:r w:rsidRPr="007C740F">
              <w:rPr>
                <w:noProof/>
                <w:webHidden/>
              </w:rPr>
              <w:fldChar w:fldCharType="end"/>
            </w:r>
          </w:hyperlink>
        </w:p>
        <w:p w14:paraId="0E489C6F" w14:textId="5B5021AC"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68" w:history="1">
            <w:r w:rsidRPr="007C740F">
              <w:rPr>
                <w:rStyle w:val="Hyperlink"/>
                <w:noProof/>
              </w:rPr>
              <w:t>Instruments and resources developed to enable production of estimates</w:t>
            </w:r>
            <w:r w:rsidRPr="007C740F">
              <w:rPr>
                <w:noProof/>
                <w:webHidden/>
              </w:rPr>
              <w:tab/>
            </w:r>
            <w:r w:rsidRPr="007C740F">
              <w:rPr>
                <w:noProof/>
                <w:webHidden/>
              </w:rPr>
              <w:fldChar w:fldCharType="begin"/>
            </w:r>
            <w:r w:rsidRPr="007C740F">
              <w:rPr>
                <w:noProof/>
                <w:webHidden/>
              </w:rPr>
              <w:instrText xml:space="preserve"> PAGEREF _Toc193659668 \h </w:instrText>
            </w:r>
            <w:r w:rsidRPr="007C740F">
              <w:rPr>
                <w:noProof/>
                <w:webHidden/>
              </w:rPr>
            </w:r>
            <w:r w:rsidRPr="007C740F">
              <w:rPr>
                <w:noProof/>
                <w:webHidden/>
              </w:rPr>
              <w:fldChar w:fldCharType="separate"/>
            </w:r>
            <w:r w:rsidRPr="007C740F">
              <w:rPr>
                <w:noProof/>
                <w:webHidden/>
              </w:rPr>
              <w:t>8</w:t>
            </w:r>
            <w:r w:rsidRPr="007C740F">
              <w:rPr>
                <w:noProof/>
                <w:webHidden/>
              </w:rPr>
              <w:fldChar w:fldCharType="end"/>
            </w:r>
          </w:hyperlink>
        </w:p>
        <w:p w14:paraId="12A60EEA" w14:textId="2ECCFCEC"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69" w:history="1">
            <w:r w:rsidRPr="007C740F">
              <w:rPr>
                <w:rStyle w:val="Hyperlink"/>
                <w:noProof/>
              </w:rPr>
              <w:t>Limitations of the MGDb</w:t>
            </w:r>
            <w:r w:rsidRPr="007C740F">
              <w:rPr>
                <w:noProof/>
                <w:webHidden/>
              </w:rPr>
              <w:tab/>
            </w:r>
            <w:r w:rsidRPr="007C740F">
              <w:rPr>
                <w:noProof/>
                <w:webHidden/>
              </w:rPr>
              <w:fldChar w:fldCharType="begin"/>
            </w:r>
            <w:r w:rsidRPr="007C740F">
              <w:rPr>
                <w:noProof/>
                <w:webHidden/>
              </w:rPr>
              <w:instrText xml:space="preserve"> PAGEREF _Toc193659669 \h </w:instrText>
            </w:r>
            <w:r w:rsidRPr="007C740F">
              <w:rPr>
                <w:noProof/>
                <w:webHidden/>
              </w:rPr>
            </w:r>
            <w:r w:rsidRPr="007C740F">
              <w:rPr>
                <w:noProof/>
                <w:webHidden/>
              </w:rPr>
              <w:fldChar w:fldCharType="separate"/>
            </w:r>
            <w:r w:rsidRPr="007C740F">
              <w:rPr>
                <w:noProof/>
                <w:webHidden/>
              </w:rPr>
              <w:t>10</w:t>
            </w:r>
            <w:r w:rsidRPr="007C740F">
              <w:rPr>
                <w:noProof/>
                <w:webHidden/>
              </w:rPr>
              <w:fldChar w:fldCharType="end"/>
            </w:r>
          </w:hyperlink>
        </w:p>
        <w:p w14:paraId="0796F084" w14:textId="03D7EB9F" w:rsidR="007C740F" w:rsidRPr="007C740F" w:rsidRDefault="007C740F">
          <w:pPr>
            <w:pStyle w:val="TOC1"/>
            <w:rPr>
              <w:rFonts w:eastAsiaTheme="minorEastAsia"/>
              <w:noProof/>
              <w:kern w:val="2"/>
              <w:sz w:val="24"/>
              <w:szCs w:val="24"/>
              <w:lang w:val="en-ZA" w:eastAsia="en-ZA"/>
              <w14:ligatures w14:val="standardContextual"/>
            </w:rPr>
          </w:pPr>
          <w:hyperlink w:anchor="_Toc193659670" w:history="1">
            <w:r w:rsidRPr="007C740F">
              <w:rPr>
                <w:rStyle w:val="Hyperlink"/>
                <w:noProof/>
              </w:rPr>
              <w:t>Some examples of outputs</w:t>
            </w:r>
            <w:r w:rsidRPr="007C740F">
              <w:rPr>
                <w:noProof/>
                <w:webHidden/>
              </w:rPr>
              <w:tab/>
            </w:r>
            <w:r w:rsidRPr="007C740F">
              <w:rPr>
                <w:noProof/>
                <w:webHidden/>
              </w:rPr>
              <w:fldChar w:fldCharType="begin"/>
            </w:r>
            <w:r w:rsidRPr="007C740F">
              <w:rPr>
                <w:noProof/>
                <w:webHidden/>
              </w:rPr>
              <w:instrText xml:space="preserve"> PAGEREF _Toc193659670 \h </w:instrText>
            </w:r>
            <w:r w:rsidRPr="007C740F">
              <w:rPr>
                <w:noProof/>
                <w:webHidden/>
              </w:rPr>
            </w:r>
            <w:r w:rsidRPr="007C740F">
              <w:rPr>
                <w:noProof/>
                <w:webHidden/>
              </w:rPr>
              <w:fldChar w:fldCharType="separate"/>
            </w:r>
            <w:r w:rsidRPr="007C740F">
              <w:rPr>
                <w:noProof/>
                <w:webHidden/>
              </w:rPr>
              <w:t>10</w:t>
            </w:r>
            <w:r w:rsidRPr="007C740F">
              <w:rPr>
                <w:noProof/>
                <w:webHidden/>
              </w:rPr>
              <w:fldChar w:fldCharType="end"/>
            </w:r>
          </w:hyperlink>
        </w:p>
        <w:p w14:paraId="4495B2B2" w14:textId="22BA755D" w:rsidR="007C740F" w:rsidRPr="007C740F" w:rsidRDefault="007C740F">
          <w:pPr>
            <w:pStyle w:val="TOC1"/>
            <w:rPr>
              <w:rFonts w:eastAsiaTheme="minorEastAsia"/>
              <w:noProof/>
              <w:kern w:val="2"/>
              <w:sz w:val="24"/>
              <w:szCs w:val="24"/>
              <w:lang w:val="en-ZA" w:eastAsia="en-ZA"/>
              <w14:ligatures w14:val="standardContextual"/>
            </w:rPr>
          </w:pPr>
          <w:hyperlink w:anchor="_Toc193659671" w:history="1">
            <w:r w:rsidRPr="007C740F">
              <w:rPr>
                <w:rStyle w:val="Hyperlink"/>
                <w:noProof/>
              </w:rPr>
              <w:t>Interventions affecting endogenous congenital disorders</w:t>
            </w:r>
            <w:r w:rsidRPr="007C740F">
              <w:rPr>
                <w:noProof/>
                <w:webHidden/>
              </w:rPr>
              <w:tab/>
            </w:r>
            <w:r w:rsidRPr="007C740F">
              <w:rPr>
                <w:noProof/>
                <w:webHidden/>
              </w:rPr>
              <w:fldChar w:fldCharType="begin"/>
            </w:r>
            <w:r w:rsidRPr="007C740F">
              <w:rPr>
                <w:noProof/>
                <w:webHidden/>
              </w:rPr>
              <w:instrText xml:space="preserve"> PAGEREF _Toc193659671 \h </w:instrText>
            </w:r>
            <w:r w:rsidRPr="007C740F">
              <w:rPr>
                <w:noProof/>
                <w:webHidden/>
              </w:rPr>
            </w:r>
            <w:r w:rsidRPr="007C740F">
              <w:rPr>
                <w:noProof/>
                <w:webHidden/>
              </w:rPr>
              <w:fldChar w:fldCharType="separate"/>
            </w:r>
            <w:r w:rsidRPr="007C740F">
              <w:rPr>
                <w:noProof/>
                <w:webHidden/>
              </w:rPr>
              <w:t>13</w:t>
            </w:r>
            <w:r w:rsidRPr="007C740F">
              <w:rPr>
                <w:noProof/>
                <w:webHidden/>
              </w:rPr>
              <w:fldChar w:fldCharType="end"/>
            </w:r>
          </w:hyperlink>
        </w:p>
        <w:p w14:paraId="3DF54017" w14:textId="58C3A76B"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72" w:history="1">
            <w:r w:rsidRPr="007C740F">
              <w:rPr>
                <w:rStyle w:val="Hyperlink"/>
                <w:noProof/>
              </w:rPr>
              <w:t>Estimating the power of interventions</w:t>
            </w:r>
            <w:r w:rsidRPr="007C740F">
              <w:rPr>
                <w:noProof/>
                <w:webHidden/>
              </w:rPr>
              <w:tab/>
            </w:r>
            <w:r w:rsidRPr="007C740F">
              <w:rPr>
                <w:noProof/>
                <w:webHidden/>
              </w:rPr>
              <w:fldChar w:fldCharType="begin"/>
            </w:r>
            <w:r w:rsidRPr="007C740F">
              <w:rPr>
                <w:noProof/>
                <w:webHidden/>
              </w:rPr>
              <w:instrText xml:space="preserve"> PAGEREF _Toc193659672 \h </w:instrText>
            </w:r>
            <w:r w:rsidRPr="007C740F">
              <w:rPr>
                <w:noProof/>
                <w:webHidden/>
              </w:rPr>
            </w:r>
            <w:r w:rsidRPr="007C740F">
              <w:rPr>
                <w:noProof/>
                <w:webHidden/>
              </w:rPr>
              <w:fldChar w:fldCharType="separate"/>
            </w:r>
            <w:r w:rsidRPr="007C740F">
              <w:rPr>
                <w:noProof/>
                <w:webHidden/>
              </w:rPr>
              <w:t>13</w:t>
            </w:r>
            <w:r w:rsidRPr="007C740F">
              <w:rPr>
                <w:noProof/>
                <w:webHidden/>
              </w:rPr>
              <w:fldChar w:fldCharType="end"/>
            </w:r>
          </w:hyperlink>
        </w:p>
        <w:p w14:paraId="04A87BA4" w14:textId="3E45C857" w:rsidR="007C740F" w:rsidRPr="007C740F" w:rsidRDefault="007C740F">
          <w:pPr>
            <w:pStyle w:val="TOC1"/>
            <w:rPr>
              <w:rFonts w:eastAsiaTheme="minorEastAsia"/>
              <w:noProof/>
              <w:kern w:val="2"/>
              <w:sz w:val="24"/>
              <w:szCs w:val="24"/>
              <w:lang w:val="en-ZA" w:eastAsia="en-ZA"/>
              <w14:ligatures w14:val="standardContextual"/>
            </w:rPr>
          </w:pPr>
          <w:hyperlink w:anchor="_Toc193659673" w:history="1">
            <w:r w:rsidRPr="007C740F">
              <w:rPr>
                <w:rStyle w:val="Hyperlink"/>
                <w:noProof/>
              </w:rPr>
              <w:t>Actual effects of interventions, 2020-24 estimates</w:t>
            </w:r>
            <w:r w:rsidRPr="007C740F">
              <w:rPr>
                <w:noProof/>
                <w:webHidden/>
              </w:rPr>
              <w:tab/>
            </w:r>
            <w:r w:rsidRPr="007C740F">
              <w:rPr>
                <w:noProof/>
                <w:webHidden/>
              </w:rPr>
              <w:fldChar w:fldCharType="begin"/>
            </w:r>
            <w:r w:rsidRPr="007C740F">
              <w:rPr>
                <w:noProof/>
                <w:webHidden/>
              </w:rPr>
              <w:instrText xml:space="preserve"> PAGEREF _Toc193659673 \h </w:instrText>
            </w:r>
            <w:r w:rsidRPr="007C740F">
              <w:rPr>
                <w:noProof/>
                <w:webHidden/>
              </w:rPr>
            </w:r>
            <w:r w:rsidRPr="007C740F">
              <w:rPr>
                <w:noProof/>
                <w:webHidden/>
              </w:rPr>
              <w:fldChar w:fldCharType="separate"/>
            </w:r>
            <w:r w:rsidRPr="007C740F">
              <w:rPr>
                <w:noProof/>
                <w:webHidden/>
              </w:rPr>
              <w:t>14</w:t>
            </w:r>
            <w:r w:rsidRPr="007C740F">
              <w:rPr>
                <w:noProof/>
                <w:webHidden/>
              </w:rPr>
              <w:fldChar w:fldCharType="end"/>
            </w:r>
          </w:hyperlink>
        </w:p>
        <w:p w14:paraId="4E9BE86B" w14:textId="2417B80A"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74" w:history="1">
            <w:r w:rsidRPr="007C740F">
              <w:rPr>
                <w:rStyle w:val="Hyperlink"/>
                <w:noProof/>
              </w:rPr>
              <w:t>Folic acid food fortification</w:t>
            </w:r>
            <w:r w:rsidRPr="007C740F">
              <w:rPr>
                <w:noProof/>
                <w:webHidden/>
              </w:rPr>
              <w:tab/>
            </w:r>
            <w:r w:rsidRPr="007C740F">
              <w:rPr>
                <w:noProof/>
                <w:webHidden/>
              </w:rPr>
              <w:fldChar w:fldCharType="begin"/>
            </w:r>
            <w:r w:rsidRPr="007C740F">
              <w:rPr>
                <w:noProof/>
                <w:webHidden/>
              </w:rPr>
              <w:instrText xml:space="preserve"> PAGEREF _Toc193659674 \h </w:instrText>
            </w:r>
            <w:r w:rsidRPr="007C740F">
              <w:rPr>
                <w:noProof/>
                <w:webHidden/>
              </w:rPr>
            </w:r>
            <w:r w:rsidRPr="007C740F">
              <w:rPr>
                <w:noProof/>
                <w:webHidden/>
              </w:rPr>
              <w:fldChar w:fldCharType="separate"/>
            </w:r>
            <w:r w:rsidRPr="007C740F">
              <w:rPr>
                <w:noProof/>
                <w:webHidden/>
              </w:rPr>
              <w:t>14</w:t>
            </w:r>
            <w:r w:rsidRPr="007C740F">
              <w:rPr>
                <w:noProof/>
                <w:webHidden/>
              </w:rPr>
              <w:fldChar w:fldCharType="end"/>
            </w:r>
          </w:hyperlink>
        </w:p>
        <w:p w14:paraId="4E30204B" w14:textId="6C089DFE"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75" w:history="1">
            <w:r w:rsidRPr="007C740F">
              <w:rPr>
                <w:rStyle w:val="Hyperlink"/>
                <w:noProof/>
              </w:rPr>
              <w:t>Anti-D for rhesus negative mothers</w:t>
            </w:r>
            <w:r w:rsidRPr="007C740F">
              <w:rPr>
                <w:noProof/>
                <w:webHidden/>
              </w:rPr>
              <w:tab/>
            </w:r>
            <w:r w:rsidRPr="007C740F">
              <w:rPr>
                <w:noProof/>
                <w:webHidden/>
              </w:rPr>
              <w:fldChar w:fldCharType="begin"/>
            </w:r>
            <w:r w:rsidRPr="007C740F">
              <w:rPr>
                <w:noProof/>
                <w:webHidden/>
              </w:rPr>
              <w:instrText xml:space="preserve"> PAGEREF _Toc193659675 \h </w:instrText>
            </w:r>
            <w:r w:rsidRPr="007C740F">
              <w:rPr>
                <w:noProof/>
                <w:webHidden/>
              </w:rPr>
            </w:r>
            <w:r w:rsidRPr="007C740F">
              <w:rPr>
                <w:noProof/>
                <w:webHidden/>
              </w:rPr>
              <w:fldChar w:fldCharType="separate"/>
            </w:r>
            <w:r w:rsidRPr="007C740F">
              <w:rPr>
                <w:noProof/>
                <w:webHidden/>
              </w:rPr>
              <w:t>15</w:t>
            </w:r>
            <w:r w:rsidRPr="007C740F">
              <w:rPr>
                <w:noProof/>
                <w:webHidden/>
              </w:rPr>
              <w:fldChar w:fldCharType="end"/>
            </w:r>
          </w:hyperlink>
        </w:p>
        <w:p w14:paraId="2753CBC4" w14:textId="56E8873D"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76" w:history="1">
            <w:r w:rsidRPr="007C740F">
              <w:rPr>
                <w:rStyle w:val="Hyperlink"/>
                <w:noProof/>
              </w:rPr>
              <w:t>Genetic risk detection and counselling</w:t>
            </w:r>
            <w:r w:rsidRPr="007C740F">
              <w:rPr>
                <w:noProof/>
                <w:webHidden/>
              </w:rPr>
              <w:tab/>
            </w:r>
            <w:r w:rsidRPr="007C740F">
              <w:rPr>
                <w:noProof/>
                <w:webHidden/>
              </w:rPr>
              <w:fldChar w:fldCharType="begin"/>
            </w:r>
            <w:r w:rsidRPr="007C740F">
              <w:rPr>
                <w:noProof/>
                <w:webHidden/>
              </w:rPr>
              <w:instrText xml:space="preserve"> PAGEREF _Toc193659676 \h </w:instrText>
            </w:r>
            <w:r w:rsidRPr="007C740F">
              <w:rPr>
                <w:noProof/>
                <w:webHidden/>
              </w:rPr>
            </w:r>
            <w:r w:rsidRPr="007C740F">
              <w:rPr>
                <w:noProof/>
                <w:webHidden/>
              </w:rPr>
              <w:fldChar w:fldCharType="separate"/>
            </w:r>
            <w:r w:rsidRPr="007C740F">
              <w:rPr>
                <w:noProof/>
                <w:webHidden/>
              </w:rPr>
              <w:t>16</w:t>
            </w:r>
            <w:r w:rsidRPr="007C740F">
              <w:rPr>
                <w:noProof/>
                <w:webHidden/>
              </w:rPr>
              <w:fldChar w:fldCharType="end"/>
            </w:r>
          </w:hyperlink>
        </w:p>
        <w:p w14:paraId="54BCF4F8" w14:textId="69AFCEB8"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77" w:history="1">
            <w:r w:rsidRPr="007C740F">
              <w:rPr>
                <w:rStyle w:val="Hyperlink"/>
                <w:noProof/>
              </w:rPr>
              <w:t>Retrospective risk detection</w:t>
            </w:r>
            <w:r w:rsidRPr="007C740F">
              <w:rPr>
                <w:noProof/>
                <w:webHidden/>
              </w:rPr>
              <w:tab/>
            </w:r>
            <w:r w:rsidRPr="007C740F">
              <w:rPr>
                <w:noProof/>
                <w:webHidden/>
              </w:rPr>
              <w:fldChar w:fldCharType="begin"/>
            </w:r>
            <w:r w:rsidRPr="007C740F">
              <w:rPr>
                <w:noProof/>
                <w:webHidden/>
              </w:rPr>
              <w:instrText xml:space="preserve"> PAGEREF _Toc193659677 \h </w:instrText>
            </w:r>
            <w:r w:rsidRPr="007C740F">
              <w:rPr>
                <w:noProof/>
                <w:webHidden/>
              </w:rPr>
            </w:r>
            <w:r w:rsidRPr="007C740F">
              <w:rPr>
                <w:noProof/>
                <w:webHidden/>
              </w:rPr>
              <w:fldChar w:fldCharType="separate"/>
            </w:r>
            <w:r w:rsidRPr="007C740F">
              <w:rPr>
                <w:noProof/>
                <w:webHidden/>
              </w:rPr>
              <w:t>16</w:t>
            </w:r>
            <w:r w:rsidRPr="007C740F">
              <w:rPr>
                <w:noProof/>
                <w:webHidden/>
              </w:rPr>
              <w:fldChar w:fldCharType="end"/>
            </w:r>
          </w:hyperlink>
        </w:p>
        <w:p w14:paraId="700EB4F8" w14:textId="2163F277"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78" w:history="1">
            <w:r w:rsidRPr="007C740F">
              <w:rPr>
                <w:rStyle w:val="Hyperlink"/>
                <w:noProof/>
              </w:rPr>
              <w:t>Prospective risk detection</w:t>
            </w:r>
            <w:r w:rsidRPr="007C740F">
              <w:rPr>
                <w:noProof/>
                <w:webHidden/>
              </w:rPr>
              <w:tab/>
            </w:r>
            <w:r w:rsidRPr="007C740F">
              <w:rPr>
                <w:noProof/>
                <w:webHidden/>
              </w:rPr>
              <w:fldChar w:fldCharType="begin"/>
            </w:r>
            <w:r w:rsidRPr="007C740F">
              <w:rPr>
                <w:noProof/>
                <w:webHidden/>
              </w:rPr>
              <w:instrText xml:space="preserve"> PAGEREF _Toc193659678 \h </w:instrText>
            </w:r>
            <w:r w:rsidRPr="007C740F">
              <w:rPr>
                <w:noProof/>
                <w:webHidden/>
              </w:rPr>
            </w:r>
            <w:r w:rsidRPr="007C740F">
              <w:rPr>
                <w:noProof/>
                <w:webHidden/>
              </w:rPr>
              <w:fldChar w:fldCharType="separate"/>
            </w:r>
            <w:r w:rsidRPr="007C740F">
              <w:rPr>
                <w:noProof/>
                <w:webHidden/>
              </w:rPr>
              <w:t>17</w:t>
            </w:r>
            <w:r w:rsidRPr="007C740F">
              <w:rPr>
                <w:noProof/>
                <w:webHidden/>
              </w:rPr>
              <w:fldChar w:fldCharType="end"/>
            </w:r>
          </w:hyperlink>
        </w:p>
        <w:p w14:paraId="7F4176FD" w14:textId="14E4FCCE"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79" w:history="1">
            <w:r w:rsidRPr="007C740F">
              <w:rPr>
                <w:rStyle w:val="Hyperlink"/>
                <w:noProof/>
              </w:rPr>
              <w:t>Termination of pregnancy for fetal impairment</w:t>
            </w:r>
            <w:r w:rsidRPr="007C740F">
              <w:rPr>
                <w:noProof/>
                <w:webHidden/>
              </w:rPr>
              <w:tab/>
            </w:r>
            <w:r w:rsidRPr="007C740F">
              <w:rPr>
                <w:noProof/>
                <w:webHidden/>
              </w:rPr>
              <w:fldChar w:fldCharType="begin"/>
            </w:r>
            <w:r w:rsidRPr="007C740F">
              <w:rPr>
                <w:noProof/>
                <w:webHidden/>
              </w:rPr>
              <w:instrText xml:space="preserve"> PAGEREF _Toc193659679 \h </w:instrText>
            </w:r>
            <w:r w:rsidRPr="007C740F">
              <w:rPr>
                <w:noProof/>
                <w:webHidden/>
              </w:rPr>
            </w:r>
            <w:r w:rsidRPr="007C740F">
              <w:rPr>
                <w:noProof/>
                <w:webHidden/>
              </w:rPr>
              <w:fldChar w:fldCharType="separate"/>
            </w:r>
            <w:r w:rsidRPr="007C740F">
              <w:rPr>
                <w:noProof/>
                <w:webHidden/>
              </w:rPr>
              <w:t>17</w:t>
            </w:r>
            <w:r w:rsidRPr="007C740F">
              <w:rPr>
                <w:noProof/>
                <w:webHidden/>
              </w:rPr>
              <w:fldChar w:fldCharType="end"/>
            </w:r>
          </w:hyperlink>
        </w:p>
        <w:p w14:paraId="0D7ED381" w14:textId="37FC06B7"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80" w:history="1">
            <w:r w:rsidRPr="007C740F">
              <w:rPr>
                <w:rStyle w:val="Hyperlink"/>
                <w:noProof/>
              </w:rPr>
              <w:t>Early diagnosis and care</w:t>
            </w:r>
            <w:r w:rsidRPr="007C740F">
              <w:rPr>
                <w:noProof/>
                <w:webHidden/>
              </w:rPr>
              <w:tab/>
            </w:r>
            <w:r w:rsidRPr="007C740F">
              <w:rPr>
                <w:noProof/>
                <w:webHidden/>
              </w:rPr>
              <w:fldChar w:fldCharType="begin"/>
            </w:r>
            <w:r w:rsidRPr="007C740F">
              <w:rPr>
                <w:noProof/>
                <w:webHidden/>
              </w:rPr>
              <w:instrText xml:space="preserve"> PAGEREF _Toc193659680 \h </w:instrText>
            </w:r>
            <w:r w:rsidRPr="007C740F">
              <w:rPr>
                <w:noProof/>
                <w:webHidden/>
              </w:rPr>
            </w:r>
            <w:r w:rsidRPr="007C740F">
              <w:rPr>
                <w:noProof/>
                <w:webHidden/>
              </w:rPr>
              <w:fldChar w:fldCharType="separate"/>
            </w:r>
            <w:r w:rsidRPr="007C740F">
              <w:rPr>
                <w:noProof/>
                <w:webHidden/>
              </w:rPr>
              <w:t>18</w:t>
            </w:r>
            <w:r w:rsidRPr="007C740F">
              <w:rPr>
                <w:noProof/>
                <w:webHidden/>
              </w:rPr>
              <w:fldChar w:fldCharType="end"/>
            </w:r>
          </w:hyperlink>
        </w:p>
        <w:p w14:paraId="5584BEA0" w14:textId="1809DB0F"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81" w:history="1">
            <w:r w:rsidRPr="007C740F">
              <w:rPr>
                <w:rStyle w:val="Hyperlink"/>
                <w:noProof/>
              </w:rPr>
              <w:t>Summary</w:t>
            </w:r>
            <w:r w:rsidRPr="007C740F">
              <w:rPr>
                <w:noProof/>
                <w:webHidden/>
              </w:rPr>
              <w:tab/>
            </w:r>
            <w:r w:rsidRPr="007C740F">
              <w:rPr>
                <w:noProof/>
                <w:webHidden/>
              </w:rPr>
              <w:fldChar w:fldCharType="begin"/>
            </w:r>
            <w:r w:rsidRPr="007C740F">
              <w:rPr>
                <w:noProof/>
                <w:webHidden/>
              </w:rPr>
              <w:instrText xml:space="preserve"> PAGEREF _Toc193659681 \h </w:instrText>
            </w:r>
            <w:r w:rsidRPr="007C740F">
              <w:rPr>
                <w:noProof/>
                <w:webHidden/>
              </w:rPr>
            </w:r>
            <w:r w:rsidRPr="007C740F">
              <w:rPr>
                <w:noProof/>
                <w:webHidden/>
              </w:rPr>
              <w:fldChar w:fldCharType="separate"/>
            </w:r>
            <w:r w:rsidRPr="007C740F">
              <w:rPr>
                <w:noProof/>
                <w:webHidden/>
              </w:rPr>
              <w:t>18</w:t>
            </w:r>
            <w:r w:rsidRPr="007C740F">
              <w:rPr>
                <w:noProof/>
                <w:webHidden/>
              </w:rPr>
              <w:fldChar w:fldCharType="end"/>
            </w:r>
          </w:hyperlink>
        </w:p>
        <w:p w14:paraId="6091D3E5" w14:textId="0A6124DE" w:rsidR="007C740F" w:rsidRPr="007C740F" w:rsidRDefault="007C740F">
          <w:pPr>
            <w:pStyle w:val="TOC1"/>
            <w:rPr>
              <w:rFonts w:eastAsiaTheme="minorEastAsia"/>
              <w:noProof/>
              <w:kern w:val="2"/>
              <w:sz w:val="24"/>
              <w:szCs w:val="24"/>
              <w:lang w:val="en-ZA" w:eastAsia="en-ZA"/>
              <w14:ligatures w14:val="standardContextual"/>
            </w:rPr>
          </w:pPr>
          <w:hyperlink w:anchor="_Toc193659682" w:history="1">
            <w:r w:rsidRPr="007C740F">
              <w:rPr>
                <w:rStyle w:val="Hyperlink"/>
                <w:noProof/>
              </w:rPr>
              <w:t>Discussion</w:t>
            </w:r>
            <w:r w:rsidRPr="007C740F">
              <w:rPr>
                <w:noProof/>
                <w:webHidden/>
              </w:rPr>
              <w:tab/>
            </w:r>
            <w:r w:rsidRPr="007C740F">
              <w:rPr>
                <w:noProof/>
                <w:webHidden/>
              </w:rPr>
              <w:fldChar w:fldCharType="begin"/>
            </w:r>
            <w:r w:rsidRPr="007C740F">
              <w:rPr>
                <w:noProof/>
                <w:webHidden/>
              </w:rPr>
              <w:instrText xml:space="preserve"> PAGEREF _Toc193659682 \h </w:instrText>
            </w:r>
            <w:r w:rsidRPr="007C740F">
              <w:rPr>
                <w:noProof/>
                <w:webHidden/>
              </w:rPr>
            </w:r>
            <w:r w:rsidRPr="007C740F">
              <w:rPr>
                <w:noProof/>
                <w:webHidden/>
              </w:rPr>
              <w:fldChar w:fldCharType="separate"/>
            </w:r>
            <w:r w:rsidRPr="007C740F">
              <w:rPr>
                <w:noProof/>
                <w:webHidden/>
              </w:rPr>
              <w:t>19</w:t>
            </w:r>
            <w:r w:rsidRPr="007C740F">
              <w:rPr>
                <w:noProof/>
                <w:webHidden/>
              </w:rPr>
              <w:fldChar w:fldCharType="end"/>
            </w:r>
          </w:hyperlink>
        </w:p>
        <w:p w14:paraId="557AD4E0" w14:textId="3E24A07E"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83" w:history="1">
            <w:r w:rsidRPr="007C740F">
              <w:rPr>
                <w:rStyle w:val="Hyperlink"/>
                <w:noProof/>
              </w:rPr>
              <w:t>Reliability of the estimates</w:t>
            </w:r>
            <w:r w:rsidRPr="007C740F">
              <w:rPr>
                <w:noProof/>
                <w:webHidden/>
              </w:rPr>
              <w:tab/>
            </w:r>
            <w:r w:rsidRPr="007C740F">
              <w:rPr>
                <w:noProof/>
                <w:webHidden/>
              </w:rPr>
              <w:fldChar w:fldCharType="begin"/>
            </w:r>
            <w:r w:rsidRPr="007C740F">
              <w:rPr>
                <w:noProof/>
                <w:webHidden/>
              </w:rPr>
              <w:instrText xml:space="preserve"> PAGEREF _Toc193659683 \h </w:instrText>
            </w:r>
            <w:r w:rsidRPr="007C740F">
              <w:rPr>
                <w:noProof/>
                <w:webHidden/>
              </w:rPr>
            </w:r>
            <w:r w:rsidRPr="007C740F">
              <w:rPr>
                <w:noProof/>
                <w:webHidden/>
              </w:rPr>
              <w:fldChar w:fldCharType="separate"/>
            </w:r>
            <w:r w:rsidRPr="007C740F">
              <w:rPr>
                <w:noProof/>
                <w:webHidden/>
              </w:rPr>
              <w:t>19</w:t>
            </w:r>
            <w:r w:rsidRPr="007C740F">
              <w:rPr>
                <w:noProof/>
                <w:webHidden/>
              </w:rPr>
              <w:fldChar w:fldCharType="end"/>
            </w:r>
          </w:hyperlink>
        </w:p>
        <w:p w14:paraId="644589A9" w14:textId="0180DF85"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84" w:history="1">
            <w:r w:rsidRPr="007C740F">
              <w:rPr>
                <w:rStyle w:val="Hyperlink"/>
                <w:noProof/>
              </w:rPr>
              <w:t>Provisional estimates for environmental disorders</w:t>
            </w:r>
            <w:r w:rsidRPr="007C740F">
              <w:rPr>
                <w:noProof/>
                <w:webHidden/>
              </w:rPr>
              <w:tab/>
            </w:r>
            <w:r w:rsidRPr="007C740F">
              <w:rPr>
                <w:noProof/>
                <w:webHidden/>
              </w:rPr>
              <w:fldChar w:fldCharType="begin"/>
            </w:r>
            <w:r w:rsidRPr="007C740F">
              <w:rPr>
                <w:noProof/>
                <w:webHidden/>
              </w:rPr>
              <w:instrText xml:space="preserve"> PAGEREF _Toc193659684 \h </w:instrText>
            </w:r>
            <w:r w:rsidRPr="007C740F">
              <w:rPr>
                <w:noProof/>
                <w:webHidden/>
              </w:rPr>
            </w:r>
            <w:r w:rsidRPr="007C740F">
              <w:rPr>
                <w:noProof/>
                <w:webHidden/>
              </w:rPr>
              <w:fldChar w:fldCharType="separate"/>
            </w:r>
            <w:r w:rsidRPr="007C740F">
              <w:rPr>
                <w:noProof/>
                <w:webHidden/>
              </w:rPr>
              <w:t>20</w:t>
            </w:r>
            <w:r w:rsidRPr="007C740F">
              <w:rPr>
                <w:noProof/>
                <w:webHidden/>
              </w:rPr>
              <w:fldChar w:fldCharType="end"/>
            </w:r>
          </w:hyperlink>
        </w:p>
        <w:p w14:paraId="5ABF1500" w14:textId="33426E8C" w:rsidR="007C740F" w:rsidRPr="007C740F" w:rsidRDefault="007C740F">
          <w:pPr>
            <w:pStyle w:val="TOC2"/>
            <w:tabs>
              <w:tab w:val="right" w:leader="dot" w:pos="9016"/>
            </w:tabs>
            <w:rPr>
              <w:rFonts w:eastAsiaTheme="minorEastAsia"/>
              <w:noProof/>
              <w:kern w:val="2"/>
              <w:sz w:val="24"/>
              <w:szCs w:val="24"/>
              <w:lang w:val="en-ZA" w:eastAsia="en-ZA"/>
              <w14:ligatures w14:val="standardContextual"/>
            </w:rPr>
          </w:pPr>
          <w:hyperlink w:anchor="_Toc193659685" w:history="1">
            <w:r w:rsidRPr="007C740F">
              <w:rPr>
                <w:rStyle w:val="Hyperlink"/>
                <w:noProof/>
              </w:rPr>
              <w:t>Comparison with other estimates</w:t>
            </w:r>
            <w:r w:rsidRPr="007C740F">
              <w:rPr>
                <w:noProof/>
                <w:webHidden/>
              </w:rPr>
              <w:tab/>
            </w:r>
            <w:r w:rsidRPr="007C740F">
              <w:rPr>
                <w:noProof/>
                <w:webHidden/>
              </w:rPr>
              <w:fldChar w:fldCharType="begin"/>
            </w:r>
            <w:r w:rsidRPr="007C740F">
              <w:rPr>
                <w:noProof/>
                <w:webHidden/>
              </w:rPr>
              <w:instrText xml:space="preserve"> PAGEREF _Toc193659685 \h </w:instrText>
            </w:r>
            <w:r w:rsidRPr="007C740F">
              <w:rPr>
                <w:noProof/>
                <w:webHidden/>
              </w:rPr>
            </w:r>
            <w:r w:rsidRPr="007C740F">
              <w:rPr>
                <w:noProof/>
                <w:webHidden/>
              </w:rPr>
              <w:fldChar w:fldCharType="separate"/>
            </w:r>
            <w:r w:rsidRPr="007C740F">
              <w:rPr>
                <w:noProof/>
                <w:webHidden/>
              </w:rPr>
              <w:t>22</w:t>
            </w:r>
            <w:r w:rsidRPr="007C740F">
              <w:rPr>
                <w:noProof/>
                <w:webHidden/>
              </w:rPr>
              <w:fldChar w:fldCharType="end"/>
            </w:r>
          </w:hyperlink>
        </w:p>
        <w:p w14:paraId="6F957D75" w14:textId="77E85819"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86" w:history="1">
            <w:r w:rsidRPr="007C740F">
              <w:rPr>
                <w:rStyle w:val="Hyperlink"/>
                <w:noProof/>
              </w:rPr>
              <w:t>The March of Dimes (MOD) report (Christianson et al. 2006)</w:t>
            </w:r>
            <w:r w:rsidRPr="007C740F">
              <w:rPr>
                <w:noProof/>
                <w:webHidden/>
              </w:rPr>
              <w:tab/>
            </w:r>
            <w:r w:rsidRPr="007C740F">
              <w:rPr>
                <w:noProof/>
                <w:webHidden/>
              </w:rPr>
              <w:fldChar w:fldCharType="begin"/>
            </w:r>
            <w:r w:rsidRPr="007C740F">
              <w:rPr>
                <w:noProof/>
                <w:webHidden/>
              </w:rPr>
              <w:instrText xml:space="preserve"> PAGEREF _Toc193659686 \h </w:instrText>
            </w:r>
            <w:r w:rsidRPr="007C740F">
              <w:rPr>
                <w:noProof/>
                <w:webHidden/>
              </w:rPr>
            </w:r>
            <w:r w:rsidRPr="007C740F">
              <w:rPr>
                <w:noProof/>
                <w:webHidden/>
              </w:rPr>
              <w:fldChar w:fldCharType="separate"/>
            </w:r>
            <w:r w:rsidRPr="007C740F">
              <w:rPr>
                <w:noProof/>
                <w:webHidden/>
              </w:rPr>
              <w:t>22</w:t>
            </w:r>
            <w:r w:rsidRPr="007C740F">
              <w:rPr>
                <w:noProof/>
                <w:webHidden/>
              </w:rPr>
              <w:fldChar w:fldCharType="end"/>
            </w:r>
          </w:hyperlink>
        </w:p>
        <w:p w14:paraId="54FAF740" w14:textId="44A27996"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87" w:history="1">
            <w:r w:rsidRPr="007C740F">
              <w:rPr>
                <w:rStyle w:val="Hyperlink"/>
                <w:noProof/>
              </w:rPr>
              <w:t>The global Burden of Disease (GBD) study</w:t>
            </w:r>
            <w:r w:rsidRPr="007C740F">
              <w:rPr>
                <w:noProof/>
                <w:webHidden/>
              </w:rPr>
              <w:tab/>
            </w:r>
            <w:r w:rsidRPr="007C740F">
              <w:rPr>
                <w:noProof/>
                <w:webHidden/>
              </w:rPr>
              <w:fldChar w:fldCharType="begin"/>
            </w:r>
            <w:r w:rsidRPr="007C740F">
              <w:rPr>
                <w:noProof/>
                <w:webHidden/>
              </w:rPr>
              <w:instrText xml:space="preserve"> PAGEREF _Toc193659687 \h </w:instrText>
            </w:r>
            <w:r w:rsidRPr="007C740F">
              <w:rPr>
                <w:noProof/>
                <w:webHidden/>
              </w:rPr>
            </w:r>
            <w:r w:rsidRPr="007C740F">
              <w:rPr>
                <w:noProof/>
                <w:webHidden/>
              </w:rPr>
              <w:fldChar w:fldCharType="separate"/>
            </w:r>
            <w:r w:rsidRPr="007C740F">
              <w:rPr>
                <w:noProof/>
                <w:webHidden/>
              </w:rPr>
              <w:t>22</w:t>
            </w:r>
            <w:r w:rsidRPr="007C740F">
              <w:rPr>
                <w:noProof/>
                <w:webHidden/>
              </w:rPr>
              <w:fldChar w:fldCharType="end"/>
            </w:r>
          </w:hyperlink>
        </w:p>
        <w:p w14:paraId="3AEC34EE" w14:textId="68E49982" w:rsidR="007C740F" w:rsidRPr="007C740F" w:rsidRDefault="007C740F">
          <w:pPr>
            <w:pStyle w:val="TOC3"/>
            <w:tabs>
              <w:tab w:val="right" w:leader="dot" w:pos="9016"/>
            </w:tabs>
            <w:rPr>
              <w:rFonts w:eastAsiaTheme="minorEastAsia"/>
              <w:noProof/>
              <w:kern w:val="2"/>
              <w:sz w:val="24"/>
              <w:szCs w:val="24"/>
              <w:lang w:val="en-ZA" w:eastAsia="en-ZA"/>
              <w14:ligatures w14:val="standardContextual"/>
            </w:rPr>
          </w:pPr>
          <w:hyperlink w:anchor="_Toc193659688" w:history="1">
            <w:r w:rsidRPr="007C740F">
              <w:rPr>
                <w:rStyle w:val="Hyperlink"/>
                <w:noProof/>
              </w:rPr>
              <w:t>Need for an agreed terminology for congenital disorders</w:t>
            </w:r>
            <w:r w:rsidRPr="007C740F">
              <w:rPr>
                <w:noProof/>
                <w:webHidden/>
              </w:rPr>
              <w:tab/>
            </w:r>
            <w:r w:rsidRPr="007C740F">
              <w:rPr>
                <w:noProof/>
                <w:webHidden/>
              </w:rPr>
              <w:fldChar w:fldCharType="begin"/>
            </w:r>
            <w:r w:rsidRPr="007C740F">
              <w:rPr>
                <w:noProof/>
                <w:webHidden/>
              </w:rPr>
              <w:instrText xml:space="preserve"> PAGEREF _Toc193659688 \h </w:instrText>
            </w:r>
            <w:r w:rsidRPr="007C740F">
              <w:rPr>
                <w:noProof/>
                <w:webHidden/>
              </w:rPr>
            </w:r>
            <w:r w:rsidRPr="007C740F">
              <w:rPr>
                <w:noProof/>
                <w:webHidden/>
              </w:rPr>
              <w:fldChar w:fldCharType="separate"/>
            </w:r>
            <w:r w:rsidRPr="007C740F">
              <w:rPr>
                <w:noProof/>
                <w:webHidden/>
              </w:rPr>
              <w:t>23</w:t>
            </w:r>
            <w:r w:rsidRPr="007C740F">
              <w:rPr>
                <w:noProof/>
                <w:webHidden/>
              </w:rPr>
              <w:fldChar w:fldCharType="end"/>
            </w:r>
          </w:hyperlink>
        </w:p>
        <w:p w14:paraId="12B770C5" w14:textId="703FB3B9" w:rsidR="007C740F" w:rsidRPr="007C740F" w:rsidRDefault="007C740F">
          <w:pPr>
            <w:pStyle w:val="TOC1"/>
            <w:rPr>
              <w:rFonts w:eastAsiaTheme="minorEastAsia"/>
              <w:noProof/>
              <w:kern w:val="2"/>
              <w:sz w:val="24"/>
              <w:szCs w:val="24"/>
              <w:lang w:val="en-ZA" w:eastAsia="en-ZA"/>
              <w14:ligatures w14:val="standardContextual"/>
            </w:rPr>
          </w:pPr>
          <w:hyperlink w:anchor="_Toc193659689" w:history="1">
            <w:r w:rsidRPr="007C740F">
              <w:rPr>
                <w:rStyle w:val="Hyperlink"/>
                <w:noProof/>
              </w:rPr>
              <w:t>Conclusion</w:t>
            </w:r>
            <w:r w:rsidRPr="007C740F">
              <w:rPr>
                <w:noProof/>
                <w:webHidden/>
              </w:rPr>
              <w:tab/>
            </w:r>
            <w:r w:rsidRPr="007C740F">
              <w:rPr>
                <w:noProof/>
                <w:webHidden/>
              </w:rPr>
              <w:fldChar w:fldCharType="begin"/>
            </w:r>
            <w:r w:rsidRPr="007C740F">
              <w:rPr>
                <w:noProof/>
                <w:webHidden/>
              </w:rPr>
              <w:instrText xml:space="preserve"> PAGEREF _Toc193659689 \h </w:instrText>
            </w:r>
            <w:r w:rsidRPr="007C740F">
              <w:rPr>
                <w:noProof/>
                <w:webHidden/>
              </w:rPr>
            </w:r>
            <w:r w:rsidRPr="007C740F">
              <w:rPr>
                <w:noProof/>
                <w:webHidden/>
              </w:rPr>
              <w:fldChar w:fldCharType="separate"/>
            </w:r>
            <w:r w:rsidRPr="007C740F">
              <w:rPr>
                <w:noProof/>
                <w:webHidden/>
              </w:rPr>
              <w:t>24</w:t>
            </w:r>
            <w:r w:rsidRPr="007C740F">
              <w:rPr>
                <w:noProof/>
                <w:webHidden/>
              </w:rPr>
              <w:fldChar w:fldCharType="end"/>
            </w:r>
          </w:hyperlink>
        </w:p>
        <w:p w14:paraId="226DF508" w14:textId="071C1B8D" w:rsidR="007C740F" w:rsidRPr="007C740F" w:rsidRDefault="007C740F">
          <w:pPr>
            <w:pStyle w:val="TOC1"/>
            <w:rPr>
              <w:rFonts w:eastAsiaTheme="minorEastAsia"/>
              <w:noProof/>
              <w:kern w:val="2"/>
              <w:sz w:val="24"/>
              <w:szCs w:val="24"/>
              <w:lang w:val="en-ZA" w:eastAsia="en-ZA"/>
              <w14:ligatures w14:val="standardContextual"/>
            </w:rPr>
          </w:pPr>
          <w:hyperlink w:anchor="_Toc193659690" w:history="1">
            <w:r w:rsidRPr="007C740F">
              <w:rPr>
                <w:rStyle w:val="Hyperlink"/>
                <w:noProof/>
              </w:rPr>
              <w:t>References</w:t>
            </w:r>
            <w:r w:rsidRPr="007C740F">
              <w:rPr>
                <w:noProof/>
                <w:webHidden/>
              </w:rPr>
              <w:tab/>
            </w:r>
            <w:r w:rsidRPr="007C740F">
              <w:rPr>
                <w:noProof/>
                <w:webHidden/>
              </w:rPr>
              <w:fldChar w:fldCharType="begin"/>
            </w:r>
            <w:r w:rsidRPr="007C740F">
              <w:rPr>
                <w:noProof/>
                <w:webHidden/>
              </w:rPr>
              <w:instrText xml:space="preserve"> PAGEREF _Toc193659690 \h </w:instrText>
            </w:r>
            <w:r w:rsidRPr="007C740F">
              <w:rPr>
                <w:noProof/>
                <w:webHidden/>
              </w:rPr>
            </w:r>
            <w:r w:rsidRPr="007C740F">
              <w:rPr>
                <w:noProof/>
                <w:webHidden/>
              </w:rPr>
              <w:fldChar w:fldCharType="separate"/>
            </w:r>
            <w:r w:rsidRPr="007C740F">
              <w:rPr>
                <w:noProof/>
                <w:webHidden/>
              </w:rPr>
              <w:t>25</w:t>
            </w:r>
            <w:r w:rsidRPr="007C740F">
              <w:rPr>
                <w:noProof/>
                <w:webHidden/>
              </w:rPr>
              <w:fldChar w:fldCharType="end"/>
            </w:r>
          </w:hyperlink>
        </w:p>
        <w:p w14:paraId="6F5E07F9" w14:textId="0611F344" w:rsidR="007C740F" w:rsidRPr="007C740F" w:rsidRDefault="007C740F">
          <w:pPr>
            <w:pStyle w:val="TOC1"/>
            <w:rPr>
              <w:rFonts w:eastAsiaTheme="minorEastAsia"/>
              <w:noProof/>
              <w:kern w:val="2"/>
              <w:sz w:val="24"/>
              <w:szCs w:val="24"/>
              <w:lang w:val="en-ZA" w:eastAsia="en-ZA"/>
              <w14:ligatures w14:val="standardContextual"/>
            </w:rPr>
          </w:pPr>
          <w:hyperlink w:anchor="_Toc193659691" w:history="1">
            <w:r w:rsidRPr="007C740F">
              <w:rPr>
                <w:rStyle w:val="Hyperlink"/>
                <w:noProof/>
              </w:rPr>
              <w:t>Annexes</w:t>
            </w:r>
            <w:r w:rsidRPr="007C740F">
              <w:rPr>
                <w:noProof/>
                <w:webHidden/>
              </w:rPr>
              <w:tab/>
            </w:r>
            <w:r w:rsidRPr="007C740F">
              <w:rPr>
                <w:noProof/>
                <w:webHidden/>
              </w:rPr>
              <w:fldChar w:fldCharType="begin"/>
            </w:r>
            <w:r w:rsidRPr="007C740F">
              <w:rPr>
                <w:noProof/>
                <w:webHidden/>
              </w:rPr>
              <w:instrText xml:space="preserve"> PAGEREF _Toc193659691 \h </w:instrText>
            </w:r>
            <w:r w:rsidRPr="007C740F">
              <w:rPr>
                <w:noProof/>
                <w:webHidden/>
              </w:rPr>
            </w:r>
            <w:r w:rsidRPr="007C740F">
              <w:rPr>
                <w:noProof/>
                <w:webHidden/>
              </w:rPr>
              <w:fldChar w:fldCharType="separate"/>
            </w:r>
            <w:r w:rsidRPr="007C740F">
              <w:rPr>
                <w:noProof/>
                <w:webHidden/>
              </w:rPr>
              <w:t>30</w:t>
            </w:r>
            <w:r w:rsidRPr="007C740F">
              <w:rPr>
                <w:noProof/>
                <w:webHidden/>
              </w:rPr>
              <w:fldChar w:fldCharType="end"/>
            </w:r>
          </w:hyperlink>
        </w:p>
        <w:p w14:paraId="0564D405" w14:textId="14AE4E35" w:rsidR="007C740F" w:rsidRPr="007C740F" w:rsidRDefault="007C740F">
          <w:pPr>
            <w:pStyle w:val="TOC2"/>
            <w:tabs>
              <w:tab w:val="left" w:pos="720"/>
              <w:tab w:val="right" w:leader="dot" w:pos="9016"/>
            </w:tabs>
            <w:rPr>
              <w:rFonts w:eastAsiaTheme="minorEastAsia"/>
              <w:noProof/>
              <w:kern w:val="2"/>
              <w:sz w:val="24"/>
              <w:szCs w:val="24"/>
              <w:lang w:val="en-ZA" w:eastAsia="en-ZA"/>
              <w14:ligatures w14:val="standardContextual"/>
            </w:rPr>
          </w:pPr>
          <w:hyperlink w:anchor="_Toc193659692" w:history="1">
            <w:r w:rsidRPr="007C740F">
              <w:rPr>
                <w:rStyle w:val="Hyperlink"/>
                <w:noProof/>
              </w:rPr>
              <w:t>1.</w:t>
            </w:r>
            <w:r w:rsidRPr="007C740F">
              <w:rPr>
                <w:rFonts w:eastAsiaTheme="minorEastAsia"/>
                <w:noProof/>
                <w:kern w:val="2"/>
                <w:sz w:val="24"/>
                <w:szCs w:val="24"/>
                <w:lang w:val="en-ZA" w:eastAsia="en-ZA"/>
                <w14:ligatures w14:val="standardContextual"/>
              </w:rPr>
              <w:tab/>
            </w:r>
            <w:r w:rsidRPr="007C740F">
              <w:rPr>
                <w:rStyle w:val="Hyperlink"/>
                <w:noProof/>
              </w:rPr>
              <w:t>UNSCEAR</w:t>
            </w:r>
            <w:r w:rsidRPr="007C740F">
              <w:rPr>
                <w:noProof/>
                <w:webHidden/>
              </w:rPr>
              <w:tab/>
            </w:r>
            <w:r w:rsidRPr="007C740F">
              <w:rPr>
                <w:noProof/>
                <w:webHidden/>
              </w:rPr>
              <w:fldChar w:fldCharType="begin"/>
            </w:r>
            <w:r w:rsidRPr="007C740F">
              <w:rPr>
                <w:noProof/>
                <w:webHidden/>
              </w:rPr>
              <w:instrText xml:space="preserve"> PAGEREF _Toc193659692 \h </w:instrText>
            </w:r>
            <w:r w:rsidRPr="007C740F">
              <w:rPr>
                <w:noProof/>
                <w:webHidden/>
              </w:rPr>
            </w:r>
            <w:r w:rsidRPr="007C740F">
              <w:rPr>
                <w:noProof/>
                <w:webHidden/>
              </w:rPr>
              <w:fldChar w:fldCharType="separate"/>
            </w:r>
            <w:r w:rsidRPr="007C740F">
              <w:rPr>
                <w:noProof/>
                <w:webHidden/>
              </w:rPr>
              <w:t>30</w:t>
            </w:r>
            <w:r w:rsidRPr="007C740F">
              <w:rPr>
                <w:noProof/>
                <w:webHidden/>
              </w:rPr>
              <w:fldChar w:fldCharType="end"/>
            </w:r>
          </w:hyperlink>
        </w:p>
        <w:p w14:paraId="08268156" w14:textId="278DBFB4" w:rsidR="007C740F" w:rsidRPr="007C740F" w:rsidRDefault="007C740F">
          <w:pPr>
            <w:pStyle w:val="TOC2"/>
            <w:tabs>
              <w:tab w:val="left" w:pos="720"/>
              <w:tab w:val="right" w:leader="dot" w:pos="9016"/>
            </w:tabs>
            <w:rPr>
              <w:rFonts w:eastAsiaTheme="minorEastAsia"/>
              <w:noProof/>
              <w:kern w:val="2"/>
              <w:sz w:val="24"/>
              <w:szCs w:val="24"/>
              <w:lang w:val="en-ZA" w:eastAsia="en-ZA"/>
              <w14:ligatures w14:val="standardContextual"/>
            </w:rPr>
          </w:pPr>
          <w:hyperlink w:anchor="_Toc193659693" w:history="1">
            <w:r w:rsidRPr="007C740F">
              <w:rPr>
                <w:rStyle w:val="Hyperlink"/>
                <w:noProof/>
              </w:rPr>
              <w:t>2.</w:t>
            </w:r>
            <w:r w:rsidRPr="007C740F">
              <w:rPr>
                <w:rFonts w:eastAsiaTheme="minorEastAsia"/>
                <w:noProof/>
                <w:kern w:val="2"/>
                <w:sz w:val="24"/>
                <w:szCs w:val="24"/>
                <w:lang w:val="en-ZA" w:eastAsia="en-ZA"/>
                <w14:ligatures w14:val="standardContextual"/>
              </w:rPr>
              <w:tab/>
            </w:r>
            <w:r w:rsidRPr="007C740F">
              <w:rPr>
                <w:rStyle w:val="Hyperlink"/>
                <w:noProof/>
              </w:rPr>
              <w:t>World Health Assembly 2010 resolution on Birth Defects.</w:t>
            </w:r>
            <w:r w:rsidRPr="007C740F">
              <w:rPr>
                <w:noProof/>
                <w:webHidden/>
              </w:rPr>
              <w:tab/>
            </w:r>
            <w:r w:rsidRPr="007C740F">
              <w:rPr>
                <w:noProof/>
                <w:webHidden/>
              </w:rPr>
              <w:fldChar w:fldCharType="begin"/>
            </w:r>
            <w:r w:rsidRPr="007C740F">
              <w:rPr>
                <w:noProof/>
                <w:webHidden/>
              </w:rPr>
              <w:instrText xml:space="preserve"> PAGEREF _Toc193659693 \h </w:instrText>
            </w:r>
            <w:r w:rsidRPr="007C740F">
              <w:rPr>
                <w:noProof/>
                <w:webHidden/>
              </w:rPr>
            </w:r>
            <w:r w:rsidRPr="007C740F">
              <w:rPr>
                <w:noProof/>
                <w:webHidden/>
              </w:rPr>
              <w:fldChar w:fldCharType="separate"/>
            </w:r>
            <w:r w:rsidRPr="007C740F">
              <w:rPr>
                <w:noProof/>
                <w:webHidden/>
              </w:rPr>
              <w:t>31</w:t>
            </w:r>
            <w:r w:rsidRPr="007C740F">
              <w:rPr>
                <w:noProof/>
                <w:webHidden/>
              </w:rPr>
              <w:fldChar w:fldCharType="end"/>
            </w:r>
          </w:hyperlink>
        </w:p>
        <w:p w14:paraId="483C7897" w14:textId="6486DD96" w:rsidR="007C740F" w:rsidRPr="007C740F" w:rsidRDefault="007C740F">
          <w:pPr>
            <w:pStyle w:val="TOC2"/>
            <w:tabs>
              <w:tab w:val="left" w:pos="720"/>
              <w:tab w:val="right" w:leader="dot" w:pos="9016"/>
            </w:tabs>
            <w:rPr>
              <w:rFonts w:eastAsiaTheme="minorEastAsia"/>
              <w:noProof/>
              <w:kern w:val="2"/>
              <w:sz w:val="24"/>
              <w:szCs w:val="24"/>
              <w:lang w:val="en-ZA" w:eastAsia="en-ZA"/>
              <w14:ligatures w14:val="standardContextual"/>
            </w:rPr>
          </w:pPr>
          <w:hyperlink w:anchor="_Toc193659694" w:history="1">
            <w:r w:rsidRPr="007C740F">
              <w:rPr>
                <w:rStyle w:val="Hyperlink"/>
                <w:noProof/>
              </w:rPr>
              <w:t>3.</w:t>
            </w:r>
            <w:r w:rsidRPr="007C740F">
              <w:rPr>
                <w:rFonts w:eastAsiaTheme="minorEastAsia"/>
                <w:noProof/>
                <w:kern w:val="2"/>
                <w:sz w:val="24"/>
                <w:szCs w:val="24"/>
                <w:lang w:val="en-ZA" w:eastAsia="en-ZA"/>
                <w14:ligatures w14:val="standardContextual"/>
              </w:rPr>
              <w:tab/>
            </w:r>
            <w:r w:rsidRPr="007C740F">
              <w:rPr>
                <w:rStyle w:val="Hyperlink"/>
                <w:noProof/>
              </w:rPr>
              <w:t>Report of the WHO Executive Board. 126th Session EB126.R6.</w:t>
            </w:r>
            <w:r w:rsidRPr="007C740F">
              <w:rPr>
                <w:noProof/>
                <w:webHidden/>
              </w:rPr>
              <w:tab/>
            </w:r>
            <w:r w:rsidRPr="007C740F">
              <w:rPr>
                <w:noProof/>
                <w:webHidden/>
              </w:rPr>
              <w:fldChar w:fldCharType="begin"/>
            </w:r>
            <w:r w:rsidRPr="007C740F">
              <w:rPr>
                <w:noProof/>
                <w:webHidden/>
              </w:rPr>
              <w:instrText xml:space="preserve"> PAGEREF _Toc193659694 \h </w:instrText>
            </w:r>
            <w:r w:rsidRPr="007C740F">
              <w:rPr>
                <w:noProof/>
                <w:webHidden/>
              </w:rPr>
            </w:r>
            <w:r w:rsidRPr="007C740F">
              <w:rPr>
                <w:noProof/>
                <w:webHidden/>
              </w:rPr>
              <w:fldChar w:fldCharType="separate"/>
            </w:r>
            <w:r w:rsidRPr="007C740F">
              <w:rPr>
                <w:noProof/>
                <w:webHidden/>
              </w:rPr>
              <w:t>33</w:t>
            </w:r>
            <w:r w:rsidRPr="007C740F">
              <w:rPr>
                <w:noProof/>
                <w:webHidden/>
              </w:rPr>
              <w:fldChar w:fldCharType="end"/>
            </w:r>
          </w:hyperlink>
        </w:p>
        <w:p w14:paraId="5C961FA7" w14:textId="52EB031C" w:rsidR="008F7CE1" w:rsidRPr="007C740F" w:rsidRDefault="008F7CE1">
          <w:r w:rsidRPr="007C740F">
            <w:rPr>
              <w:b/>
              <w:bCs/>
              <w:noProof/>
            </w:rPr>
            <w:fldChar w:fldCharType="end"/>
          </w:r>
        </w:p>
      </w:sdtContent>
    </w:sdt>
    <w:p w14:paraId="06492276" w14:textId="77777777" w:rsidR="008F7CE1" w:rsidRPr="007C740F" w:rsidRDefault="008F7CE1" w:rsidP="00722E93">
      <w:pPr>
        <w:pStyle w:val="BodyText1"/>
      </w:pPr>
    </w:p>
    <w:p w14:paraId="3EBBC5B6" w14:textId="77777777" w:rsidR="00722E93" w:rsidRPr="007C740F" w:rsidRDefault="00722E93">
      <w:pPr>
        <w:rPr>
          <w:rFonts w:ascii="Times New Roman" w:hAnsi="Times New Roman"/>
          <w:sz w:val="24"/>
        </w:rPr>
      </w:pPr>
      <w:r w:rsidRPr="007C740F">
        <w:br w:type="page"/>
      </w:r>
    </w:p>
    <w:p w14:paraId="449C9D7A" w14:textId="77777777" w:rsidR="00722E93" w:rsidRPr="007C740F" w:rsidRDefault="00722E93" w:rsidP="00722E93">
      <w:pPr>
        <w:pStyle w:val="Heading1"/>
      </w:pPr>
      <w:bookmarkStart w:id="0" w:name="_Toc193659654"/>
      <w:r w:rsidRPr="007C740F">
        <w:lastRenderedPageBreak/>
        <w:t>Abstract</w:t>
      </w:r>
      <w:bookmarkEnd w:id="0"/>
    </w:p>
    <w:p w14:paraId="47521A4D" w14:textId="2DFB8EA7" w:rsidR="002F102C" w:rsidRPr="007C740F" w:rsidRDefault="000E7C71" w:rsidP="00BA56F7">
      <w:pPr>
        <w:pStyle w:val="BodyText1"/>
        <w:jc w:val="both"/>
      </w:pPr>
      <w:r w:rsidRPr="007C740F">
        <w:t>Congenital disorders (often also called birth defects)</w:t>
      </w:r>
      <w:r w:rsidRPr="007C740F">
        <w:rPr>
          <w:rStyle w:val="FootnoteReference"/>
        </w:rPr>
        <w:footnoteReference w:id="1"/>
      </w:r>
      <w:r w:rsidRPr="007C740F">
        <w:t xml:space="preserve"> are “any potential pathological conditions arising before birth --- whether they are evident at birth or become manifest later in life” (WHO 1985a, 2000, 200</w:t>
      </w:r>
      <w:r w:rsidR="00932121" w:rsidRPr="007C740F">
        <w:t>6</w:t>
      </w:r>
      <w:r w:rsidR="007219FF" w:rsidRPr="007C740F">
        <w:t>; Malherbe et al 2023</w:t>
      </w:r>
      <w:r w:rsidRPr="007C740F">
        <w:t xml:space="preserve">). </w:t>
      </w:r>
      <w:r w:rsidR="002F102C" w:rsidRPr="007C740F">
        <w:t xml:space="preserve">The </w:t>
      </w:r>
      <w:r w:rsidR="00F07931" w:rsidRPr="007C740F">
        <w:t xml:space="preserve">Modell </w:t>
      </w:r>
      <w:r w:rsidR="00634641" w:rsidRPr="007C740F">
        <w:t xml:space="preserve">Database </w:t>
      </w:r>
      <w:r w:rsidR="00F07931" w:rsidRPr="007C740F">
        <w:t xml:space="preserve">of Congenital Disorders </w:t>
      </w:r>
      <w:r w:rsidR="0081367B" w:rsidRPr="007C740F">
        <w:t xml:space="preserve">(MGDb) </w:t>
      </w:r>
      <w:r w:rsidR="00E847E9" w:rsidRPr="007C740F">
        <w:t xml:space="preserve">is designed </w:t>
      </w:r>
      <w:r w:rsidR="00F04A84" w:rsidRPr="007C740F">
        <w:t xml:space="preserve">to </w:t>
      </w:r>
      <w:r w:rsidR="00E847E9" w:rsidRPr="007C740F">
        <w:t xml:space="preserve">generate </w:t>
      </w:r>
      <w:r w:rsidR="002F102C" w:rsidRPr="007C740F">
        <w:t>evidence-based country-specific estimates</w:t>
      </w:r>
      <w:r w:rsidR="00F23ACA" w:rsidRPr="007C740F">
        <w:t xml:space="preserve"> </w:t>
      </w:r>
      <w:r w:rsidR="00F04A84" w:rsidRPr="007C740F">
        <w:t>of their birth prevalence and outcomes</w:t>
      </w:r>
      <w:r w:rsidR="00E847E9" w:rsidRPr="007C740F">
        <w:t xml:space="preserve"> and make them publicly available</w:t>
      </w:r>
      <w:r w:rsidR="002F102C" w:rsidRPr="007C740F">
        <w:t>.</w:t>
      </w:r>
    </w:p>
    <w:p w14:paraId="5742EFB5" w14:textId="2FA81EB7" w:rsidR="00932121" w:rsidRPr="007C740F" w:rsidRDefault="00634641" w:rsidP="00BA56F7">
      <w:pPr>
        <w:pStyle w:val="BodyText1"/>
        <w:jc w:val="both"/>
      </w:pPr>
      <w:r w:rsidRPr="007C740F">
        <w:t>The</w:t>
      </w:r>
      <w:r w:rsidR="00811C25" w:rsidRPr="007C740F">
        <w:t xml:space="preserve">re are two </w:t>
      </w:r>
      <w:r w:rsidR="0087417C" w:rsidRPr="007C740F">
        <w:t>main groups of c</w:t>
      </w:r>
      <w:r w:rsidR="002F102C" w:rsidRPr="007C740F">
        <w:t>ongenital disorder</w:t>
      </w:r>
      <w:r w:rsidR="00EC37AC" w:rsidRPr="007C740F">
        <w:t>:</w:t>
      </w:r>
      <w:r w:rsidR="00811C25" w:rsidRPr="007C740F">
        <w:t xml:space="preserve"> (</w:t>
      </w:r>
      <w:r w:rsidR="00E847E9" w:rsidRPr="007C740F">
        <w:t>1</w:t>
      </w:r>
      <w:r w:rsidR="00811C25" w:rsidRPr="007C740F">
        <w:t xml:space="preserve">) </w:t>
      </w:r>
      <w:r w:rsidR="00F04A84" w:rsidRPr="007C740F">
        <w:t>E</w:t>
      </w:r>
      <w:r w:rsidR="00965B92" w:rsidRPr="007C740F">
        <w:t xml:space="preserve">nvironmental </w:t>
      </w:r>
      <w:r w:rsidR="00F04A84" w:rsidRPr="007C740F">
        <w:t xml:space="preserve">congenital </w:t>
      </w:r>
      <w:r w:rsidR="00965B92" w:rsidRPr="007C740F">
        <w:t xml:space="preserve">disorders </w:t>
      </w:r>
      <w:r w:rsidR="002F102C" w:rsidRPr="007C740F">
        <w:t xml:space="preserve">due to maternal exposure to infection or other </w:t>
      </w:r>
      <w:r w:rsidR="00DE1B0A" w:rsidRPr="007C740F">
        <w:t xml:space="preserve">(preventable) </w:t>
      </w:r>
      <w:r w:rsidR="002F102C" w:rsidRPr="007C740F">
        <w:t>hazards</w:t>
      </w:r>
      <w:r w:rsidR="00F04A84" w:rsidRPr="007C740F">
        <w:t>: it is difficult to quantify their global burden because their prevalence varies with time and place</w:t>
      </w:r>
      <w:r w:rsidR="00EC37AC" w:rsidRPr="007C740F">
        <w:t>;</w:t>
      </w:r>
      <w:r w:rsidR="00965B92" w:rsidRPr="007C740F">
        <w:t xml:space="preserve"> </w:t>
      </w:r>
      <w:r w:rsidR="00811C25" w:rsidRPr="007C740F">
        <w:t>(</w:t>
      </w:r>
      <w:r w:rsidR="00E847E9" w:rsidRPr="007C740F">
        <w:t>2</w:t>
      </w:r>
      <w:r w:rsidR="00811C25" w:rsidRPr="007C740F">
        <w:t xml:space="preserve">) </w:t>
      </w:r>
      <w:r w:rsidR="00F04A84" w:rsidRPr="007C740F">
        <w:t xml:space="preserve">Congenital disorders with mainly </w:t>
      </w:r>
      <w:r w:rsidR="00965B92" w:rsidRPr="007C740F">
        <w:t xml:space="preserve">endogenous causes - </w:t>
      </w:r>
      <w:r w:rsidR="002F102C" w:rsidRPr="007C740F">
        <w:t>chromosomal disorders, congenital malformations, single gene disorders and disorders due to common genetic risk factors.</w:t>
      </w:r>
      <w:r w:rsidR="00252511" w:rsidRPr="007C740F">
        <w:t xml:space="preserve"> </w:t>
      </w:r>
      <w:r w:rsidR="00811C25" w:rsidRPr="007C740F">
        <w:t>T</w:t>
      </w:r>
      <w:r w:rsidR="00B3650F" w:rsidRPr="007C740F">
        <w:t xml:space="preserve">he </w:t>
      </w:r>
      <w:r w:rsidR="00871319" w:rsidRPr="007C740F">
        <w:t>MGDb</w:t>
      </w:r>
      <w:r w:rsidR="00B3650F" w:rsidRPr="007C740F">
        <w:t xml:space="preserve"> </w:t>
      </w:r>
      <w:r w:rsidR="001F3763" w:rsidRPr="007C740F">
        <w:t xml:space="preserve">combines </w:t>
      </w:r>
      <w:r w:rsidR="00E847E9" w:rsidRPr="007C740F">
        <w:t>(a) the fact that the baseline birth prevalence</w:t>
      </w:r>
      <w:r w:rsidR="00E847E9" w:rsidRPr="007C740F">
        <w:rPr>
          <w:rStyle w:val="FootnoteReference"/>
        </w:rPr>
        <w:footnoteReference w:id="2"/>
      </w:r>
      <w:r w:rsidR="00E847E9" w:rsidRPr="007C740F">
        <w:t xml:space="preserve"> of </w:t>
      </w:r>
      <w:r w:rsidR="00E847E9" w:rsidRPr="007C740F">
        <w:rPr>
          <w:iCs/>
        </w:rPr>
        <w:t>this group</w:t>
      </w:r>
      <w:r w:rsidR="00E847E9" w:rsidRPr="007C740F">
        <w:rPr>
          <w:i/>
        </w:rPr>
        <w:t xml:space="preserve"> </w:t>
      </w:r>
      <w:r w:rsidR="00E847E9" w:rsidRPr="007C740F">
        <w:t>is relatively constant in any given population and</w:t>
      </w:r>
      <w:r w:rsidR="0063743E" w:rsidRPr="007C740F">
        <w:t>,</w:t>
      </w:r>
      <w:r w:rsidR="001F3763" w:rsidRPr="007C740F">
        <w:t xml:space="preserve"> </w:t>
      </w:r>
      <w:r w:rsidR="00E847E9" w:rsidRPr="007C740F">
        <w:t xml:space="preserve">(b) evidence that </w:t>
      </w:r>
      <w:r w:rsidR="001F3763" w:rsidRPr="007C740F">
        <w:t>60-70% of adverse outcomes can be avoided</w:t>
      </w:r>
      <w:r w:rsidR="00E847E9" w:rsidRPr="007C740F">
        <w:t xml:space="preserve"> with equitable access to available interventions</w:t>
      </w:r>
      <w:r w:rsidR="001F3763" w:rsidRPr="007C740F">
        <w:t xml:space="preserve">, </w:t>
      </w:r>
      <w:r w:rsidR="00932121" w:rsidRPr="007C740F">
        <w:t xml:space="preserve">to </w:t>
      </w:r>
      <w:r w:rsidR="009741BD" w:rsidRPr="007C740F">
        <w:t xml:space="preserve">generate </w:t>
      </w:r>
      <w:r w:rsidR="00033BE2" w:rsidRPr="007C740F">
        <w:t xml:space="preserve">global, regional and </w:t>
      </w:r>
      <w:r w:rsidR="00F07931" w:rsidRPr="007C740F">
        <w:t xml:space="preserve">country-specific estimates </w:t>
      </w:r>
      <w:r w:rsidR="009741BD" w:rsidRPr="007C740F">
        <w:t xml:space="preserve">of </w:t>
      </w:r>
      <w:r w:rsidR="00932121" w:rsidRPr="007C740F">
        <w:t xml:space="preserve">the </w:t>
      </w:r>
      <w:r w:rsidR="0081367B" w:rsidRPr="007C740F">
        <w:t xml:space="preserve">birth </w:t>
      </w:r>
      <w:r w:rsidR="002B1EEF" w:rsidRPr="007C740F">
        <w:t xml:space="preserve">prevalence and </w:t>
      </w:r>
      <w:r w:rsidR="00F07931" w:rsidRPr="007C740F">
        <w:t>outcomes</w:t>
      </w:r>
      <w:r w:rsidR="0015157F" w:rsidRPr="007C740F">
        <w:t xml:space="preserve"> </w:t>
      </w:r>
      <w:r w:rsidR="00340E11" w:rsidRPr="007C740F">
        <w:t xml:space="preserve">of </w:t>
      </w:r>
      <w:r w:rsidR="00811C25" w:rsidRPr="007C740F">
        <w:t xml:space="preserve">severe </w:t>
      </w:r>
      <w:r w:rsidR="00300B0D" w:rsidRPr="007C740F">
        <w:t>early</w:t>
      </w:r>
      <w:r w:rsidR="00811C25" w:rsidRPr="007C740F">
        <w:t>-</w:t>
      </w:r>
      <w:r w:rsidR="00300B0D" w:rsidRPr="007C740F">
        <w:t xml:space="preserve">onset </w:t>
      </w:r>
      <w:r w:rsidR="00340E11" w:rsidRPr="007C740F">
        <w:t>e</w:t>
      </w:r>
      <w:r w:rsidR="009D11DE" w:rsidRPr="007C740F">
        <w:t>ndogenous congenital disorders</w:t>
      </w:r>
      <w:r w:rsidR="00BA56F7" w:rsidRPr="007C740F">
        <w:t>.</w:t>
      </w:r>
    </w:p>
    <w:p w14:paraId="6809C025" w14:textId="088913CA" w:rsidR="0087417C" w:rsidRPr="007C740F" w:rsidRDefault="00033BE2" w:rsidP="00BA56F7">
      <w:pPr>
        <w:pStyle w:val="BodyText1"/>
        <w:jc w:val="both"/>
      </w:pPr>
      <w:r w:rsidRPr="007C740F">
        <w:t>In summary, t</w:t>
      </w:r>
      <w:r w:rsidR="00D27566" w:rsidRPr="007C740F">
        <w:t xml:space="preserve">he MGDb </w:t>
      </w:r>
      <w:r w:rsidR="001F3763" w:rsidRPr="007C740F">
        <w:t xml:space="preserve">estimates that </w:t>
      </w:r>
      <w:r w:rsidR="00E847E9" w:rsidRPr="007C740F">
        <w:t xml:space="preserve">in 2021 </w:t>
      </w:r>
      <w:r w:rsidR="001F3763" w:rsidRPr="007C740F">
        <w:t xml:space="preserve">there </w:t>
      </w:r>
      <w:r w:rsidR="00E847E9" w:rsidRPr="007C740F">
        <w:t xml:space="preserve">were </w:t>
      </w:r>
      <w:r w:rsidR="001F3763" w:rsidRPr="007C740F">
        <w:t xml:space="preserve">over 3.5 million births with a severe endogenous congenital disorder, </w:t>
      </w:r>
      <w:r w:rsidR="00252511" w:rsidRPr="007C740F">
        <w:t xml:space="preserve">over </w:t>
      </w:r>
      <w:r w:rsidR="00EF34A5" w:rsidRPr="007C740F">
        <w:t>35</w:t>
      </w:r>
      <w:r w:rsidR="00B3650F" w:rsidRPr="007C740F">
        <w:t xml:space="preserve">0,000 </w:t>
      </w:r>
      <w:r w:rsidRPr="007C740F">
        <w:t xml:space="preserve">attributable </w:t>
      </w:r>
      <w:r w:rsidR="00B3650F" w:rsidRPr="007C740F">
        <w:t>fetal deaths</w:t>
      </w:r>
      <w:r w:rsidRPr="007C740F">
        <w:t>,</w:t>
      </w:r>
      <w:r w:rsidR="0015157F" w:rsidRPr="007C740F">
        <w:t xml:space="preserve"> </w:t>
      </w:r>
      <w:r w:rsidR="001F3763" w:rsidRPr="007C740F">
        <w:t xml:space="preserve">around </w:t>
      </w:r>
      <w:r w:rsidR="00EF34A5" w:rsidRPr="007C740F">
        <w:t>1.</w:t>
      </w:r>
      <w:r w:rsidR="00252511" w:rsidRPr="007C740F">
        <w:t>8</w:t>
      </w:r>
      <w:r w:rsidR="00B3650F" w:rsidRPr="007C740F">
        <w:t xml:space="preserve"> million under-5 deaths</w:t>
      </w:r>
      <w:r w:rsidR="001F3763" w:rsidRPr="007C740F">
        <w:t xml:space="preserve"> and </w:t>
      </w:r>
      <w:r w:rsidR="00EF34A5" w:rsidRPr="007C740F">
        <w:t>over 2</w:t>
      </w:r>
      <w:r w:rsidR="00D27566" w:rsidRPr="007C740F">
        <w:t xml:space="preserve"> </w:t>
      </w:r>
      <w:r w:rsidR="00B3650F" w:rsidRPr="007C740F">
        <w:t>million surviv</w:t>
      </w:r>
      <w:r w:rsidR="0015157F" w:rsidRPr="007C740F">
        <w:t xml:space="preserve">ors </w:t>
      </w:r>
      <w:r w:rsidR="00B3650F" w:rsidRPr="007C740F">
        <w:t>with disability at 5 years of age</w:t>
      </w:r>
      <w:r w:rsidRPr="007C740F">
        <w:t>. The</w:t>
      </w:r>
      <w:r w:rsidR="00E847E9" w:rsidRPr="007C740F">
        <w:t>se</w:t>
      </w:r>
      <w:r w:rsidRPr="007C740F">
        <w:t xml:space="preserve"> estimates are considerably higher than those of the Global Burden of Disease (GBD) study and the WHO’s Global Health Estimates (GHE)</w:t>
      </w:r>
      <w:r w:rsidR="00E847E9" w:rsidRPr="007C740F">
        <w:t>: the comparison</w:t>
      </w:r>
      <w:r w:rsidRPr="007C740F">
        <w:t xml:space="preserve"> deserves further investigation.</w:t>
      </w:r>
    </w:p>
    <w:p w14:paraId="591D3803" w14:textId="1EE04937" w:rsidR="0016308D" w:rsidRPr="007C740F" w:rsidRDefault="00D27566" w:rsidP="00BA56F7">
      <w:pPr>
        <w:pStyle w:val="BodyText1"/>
        <w:jc w:val="both"/>
      </w:pPr>
      <w:r w:rsidRPr="007C740F">
        <w:t>T</w:t>
      </w:r>
      <w:r w:rsidR="0016308D" w:rsidRPr="007C740F">
        <w:t xml:space="preserve">he </w:t>
      </w:r>
      <w:r w:rsidR="00871319" w:rsidRPr="007C740F">
        <w:t>MGDb</w:t>
      </w:r>
      <w:r w:rsidR="0016308D" w:rsidRPr="007C740F">
        <w:t xml:space="preserve"> </w:t>
      </w:r>
      <w:r w:rsidRPr="007C740F">
        <w:t>does not pretend to provide accurate figures</w:t>
      </w:r>
      <w:r w:rsidR="00E847E9" w:rsidRPr="007C740F">
        <w:t xml:space="preserve">. The </w:t>
      </w:r>
      <w:r w:rsidRPr="007C740F">
        <w:t>provisional</w:t>
      </w:r>
      <w:r w:rsidR="00BA56F7" w:rsidRPr="007C740F">
        <w:t>,</w:t>
      </w:r>
      <w:r w:rsidRPr="007C740F">
        <w:t xml:space="preserve"> but evidence-based</w:t>
      </w:r>
      <w:r w:rsidR="00033BE2" w:rsidRPr="007C740F">
        <w:t xml:space="preserve"> </w:t>
      </w:r>
      <w:r w:rsidR="00E847E9" w:rsidRPr="007C740F">
        <w:t xml:space="preserve"> estimates are </w:t>
      </w:r>
      <w:r w:rsidR="00033BE2" w:rsidRPr="007C740F">
        <w:t>intended to provide a starting point for assess</w:t>
      </w:r>
      <w:r w:rsidR="00E847E9" w:rsidRPr="007C740F">
        <w:t xml:space="preserve">ing </w:t>
      </w:r>
      <w:r w:rsidR="00033BE2" w:rsidRPr="007C740F">
        <w:t xml:space="preserve">the burden of congenital disorders </w:t>
      </w:r>
      <w:r w:rsidR="00E847E9" w:rsidRPr="007C740F">
        <w:t xml:space="preserve">and the power of interventions </w:t>
      </w:r>
      <w:r w:rsidR="00033BE2" w:rsidRPr="007C740F">
        <w:t xml:space="preserve">in countries </w:t>
      </w:r>
      <w:r w:rsidR="00E847E9" w:rsidRPr="007C740F">
        <w:t xml:space="preserve">where </w:t>
      </w:r>
      <w:r w:rsidR="0016308D" w:rsidRPr="007C740F">
        <w:t>observational data</w:t>
      </w:r>
      <w:r w:rsidR="002B1EEF" w:rsidRPr="007C740F">
        <w:t xml:space="preserve"> </w:t>
      </w:r>
      <w:r w:rsidR="00E847E9" w:rsidRPr="007C740F">
        <w:t xml:space="preserve">are insufficient </w:t>
      </w:r>
      <w:r w:rsidR="00033BE2" w:rsidRPr="007C740F">
        <w:t xml:space="preserve">to support </w:t>
      </w:r>
      <w:r w:rsidR="00E847E9" w:rsidRPr="007C740F">
        <w:t xml:space="preserve">local </w:t>
      </w:r>
      <w:r w:rsidR="00033BE2" w:rsidRPr="007C740F">
        <w:t>policy-making.</w:t>
      </w:r>
    </w:p>
    <w:p w14:paraId="1785AF46" w14:textId="77777777" w:rsidR="00722E93" w:rsidRPr="007C740F" w:rsidRDefault="00722E93" w:rsidP="008F7CE1"/>
    <w:p w14:paraId="7EA1D2E3" w14:textId="77777777" w:rsidR="008F7CE1" w:rsidRPr="007C740F" w:rsidRDefault="008F7CE1" w:rsidP="008F7CE1">
      <w:pPr>
        <w:sectPr w:rsidR="008F7CE1" w:rsidRPr="007C740F" w:rsidSect="008F7CE1">
          <w:footerReference w:type="default" r:id="rId11"/>
          <w:pgSz w:w="11906" w:h="16838"/>
          <w:pgMar w:top="1440" w:right="1440" w:bottom="1440" w:left="1440" w:header="708" w:footer="708" w:gutter="0"/>
          <w:pgNumType w:fmt="lowerRoman"/>
          <w:cols w:space="708"/>
          <w:docGrid w:linePitch="360"/>
        </w:sectPr>
      </w:pPr>
    </w:p>
    <w:p w14:paraId="21245317" w14:textId="77777777" w:rsidR="00C65358" w:rsidRPr="007C740F" w:rsidRDefault="00C65358" w:rsidP="00C65358">
      <w:pPr>
        <w:pStyle w:val="Heading1"/>
      </w:pPr>
      <w:bookmarkStart w:id="1" w:name="_Toc193659655"/>
      <w:r w:rsidRPr="007C740F">
        <w:lastRenderedPageBreak/>
        <w:t>Introduction</w:t>
      </w:r>
      <w:bookmarkEnd w:id="1"/>
    </w:p>
    <w:p w14:paraId="09946051" w14:textId="1B7AEE67" w:rsidR="00807348" w:rsidRPr="007C740F" w:rsidRDefault="00807348" w:rsidP="00807348">
      <w:pPr>
        <w:pStyle w:val="BodyText1"/>
      </w:pPr>
      <w:r w:rsidRPr="007C740F">
        <w:t>Congenital disorders (birth defects) are “any potential pathological conditions arising before birth --- whether they are evident at birth or become manifest later in life” (WHO 1985a, 2000, 200</w:t>
      </w:r>
      <w:r w:rsidR="00EA0902" w:rsidRPr="007C740F">
        <w:t>6</w:t>
      </w:r>
      <w:r w:rsidR="00917FAC" w:rsidRPr="007C740F">
        <w:t>; Malherbe et al 2023</w:t>
      </w:r>
      <w:r w:rsidRPr="007C740F">
        <w:t xml:space="preserve">). Figure 1 shows </w:t>
      </w:r>
      <w:r w:rsidR="004B73FD" w:rsidRPr="007C740F">
        <w:t xml:space="preserve">the </w:t>
      </w:r>
      <w:r w:rsidRPr="007C740F">
        <w:t xml:space="preserve">main </w:t>
      </w:r>
      <w:r w:rsidR="004B73FD" w:rsidRPr="007C740F">
        <w:t xml:space="preserve">groups of disorder </w:t>
      </w:r>
      <w:r w:rsidR="00782381" w:rsidRPr="007C740F">
        <w:t>that fall within this definition</w:t>
      </w:r>
      <w:r w:rsidRPr="007C740F">
        <w:t>.</w:t>
      </w:r>
      <w:r w:rsidR="00A44F45" w:rsidRPr="007C740F">
        <w:t xml:space="preserve"> </w:t>
      </w:r>
    </w:p>
    <w:p w14:paraId="1C3FB76E" w14:textId="77777777" w:rsidR="00807348" w:rsidRPr="007C740F" w:rsidRDefault="00807348" w:rsidP="00807348">
      <w:pPr>
        <w:pStyle w:val="Figurelegend"/>
        <w:jc w:val="center"/>
      </w:pPr>
      <w:r w:rsidRPr="007C740F">
        <w:rPr>
          <w:noProof/>
          <w:lang w:eastAsia="en-GB"/>
        </w:rPr>
        <w:drawing>
          <wp:inline distT="0" distB="0" distL="0" distR="0" wp14:anchorId="0AA733F7" wp14:editId="4B8144A6">
            <wp:extent cx="3505200" cy="264181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16512" cy="2650336"/>
                    </a:xfrm>
                    <a:prstGeom prst="rect">
                      <a:avLst/>
                    </a:prstGeom>
                  </pic:spPr>
                </pic:pic>
              </a:graphicData>
            </a:graphic>
          </wp:inline>
        </w:drawing>
      </w:r>
    </w:p>
    <w:p w14:paraId="536CACAF" w14:textId="60DF2966" w:rsidR="00C65358" w:rsidRPr="007C740F" w:rsidRDefault="00807348" w:rsidP="00C63101">
      <w:pPr>
        <w:pStyle w:val="Figurelegend"/>
        <w:jc w:val="both"/>
      </w:pPr>
      <w:r w:rsidRPr="007C740F">
        <w:t xml:space="preserve">Figure 1. The main groups of congenital disorder. The image is notional: there is no relation between </w:t>
      </w:r>
      <w:r w:rsidR="00EA0902" w:rsidRPr="007C740F">
        <w:t xml:space="preserve">birth prevalence </w:t>
      </w:r>
      <w:r w:rsidRPr="007C740F">
        <w:t xml:space="preserve">and size of the circles or extent of overlap between categories. </w:t>
      </w:r>
      <w:r w:rsidR="00017510" w:rsidRPr="007C740F">
        <w:t xml:space="preserve">The </w:t>
      </w:r>
      <w:r w:rsidR="00871319" w:rsidRPr="007C740F">
        <w:t>MGDb</w:t>
      </w:r>
      <w:r w:rsidR="00017510" w:rsidRPr="007C740F">
        <w:t xml:space="preserve"> </w:t>
      </w:r>
      <w:r w:rsidR="003F2F5E" w:rsidRPr="007C740F">
        <w:t xml:space="preserve">currently </w:t>
      </w:r>
      <w:r w:rsidR="00017510" w:rsidRPr="007C740F">
        <w:t xml:space="preserve">includes </w:t>
      </w:r>
      <w:r w:rsidR="003F2F5E" w:rsidRPr="007C740F">
        <w:t xml:space="preserve">only </w:t>
      </w:r>
      <w:r w:rsidR="000F1B93" w:rsidRPr="007C740F">
        <w:t xml:space="preserve">early-onset congenital disorders </w:t>
      </w:r>
      <w:r w:rsidR="008D0519" w:rsidRPr="007C740F">
        <w:t>whose birth prevalence is relatively constant or can be calculated</w:t>
      </w:r>
      <w:r w:rsidR="00466078" w:rsidRPr="007C740F">
        <w:t>, namely chromosomal disorders, non-</w:t>
      </w:r>
      <w:r w:rsidR="000F1B93" w:rsidRPr="007C740F">
        <w:t xml:space="preserve">genetic </w:t>
      </w:r>
      <w:r w:rsidR="00466078" w:rsidRPr="007C740F">
        <w:t xml:space="preserve">congenital malformations, </w:t>
      </w:r>
      <w:r w:rsidR="000F1B93" w:rsidRPr="007C740F">
        <w:t xml:space="preserve">single gene disorders and </w:t>
      </w:r>
      <w:r w:rsidR="008D0519" w:rsidRPr="007C740F">
        <w:t xml:space="preserve">two </w:t>
      </w:r>
      <w:r w:rsidR="00C65358" w:rsidRPr="007C740F">
        <w:t xml:space="preserve">common </w:t>
      </w:r>
      <w:r w:rsidR="008D0519" w:rsidRPr="007C740F">
        <w:t xml:space="preserve">disorders due to genetic risk factors - rhesus haemolytic disease </w:t>
      </w:r>
      <w:r w:rsidR="00EA0902" w:rsidRPr="007C740F">
        <w:t xml:space="preserve">of the newborn </w:t>
      </w:r>
      <w:r w:rsidR="008D0519" w:rsidRPr="007C740F">
        <w:t>and neonatal jaundice due to glucose-6-phos</w:t>
      </w:r>
      <w:r w:rsidR="006F7FA3" w:rsidRPr="007C740F">
        <w:t>phate dehydrogenase deficiency.</w:t>
      </w:r>
    </w:p>
    <w:p w14:paraId="0B29987C" w14:textId="05663345" w:rsidR="00782381" w:rsidRPr="007C740F" w:rsidRDefault="00CA0381" w:rsidP="00C63101">
      <w:pPr>
        <w:pStyle w:val="BodyText1"/>
        <w:jc w:val="both"/>
      </w:pPr>
      <w:r w:rsidRPr="007C740F">
        <w:t xml:space="preserve">Congenital disorders can affect any aspect of </w:t>
      </w:r>
      <w:r w:rsidRPr="007C740F">
        <w:rPr>
          <w:b/>
          <w:bCs/>
          <w:u w:val="single"/>
        </w:rPr>
        <w:t>structure</w:t>
      </w:r>
      <w:r w:rsidRPr="007C740F">
        <w:t xml:space="preserve"> or </w:t>
      </w:r>
      <w:r w:rsidRPr="007C740F">
        <w:rPr>
          <w:b/>
          <w:bCs/>
          <w:u w:val="single"/>
        </w:rPr>
        <w:t>function</w:t>
      </w:r>
      <w:r w:rsidR="003F2F5E" w:rsidRPr="007C740F">
        <w:t xml:space="preserve"> and </w:t>
      </w:r>
      <w:r w:rsidRPr="007C740F">
        <w:t>cover a wide range of severity</w:t>
      </w:r>
      <w:r w:rsidR="003F2F5E" w:rsidRPr="007C740F">
        <w:t xml:space="preserve">. </w:t>
      </w:r>
      <w:r w:rsidR="0024012F" w:rsidRPr="007C740F">
        <w:t>Severe congenital disorders</w:t>
      </w:r>
      <w:r w:rsidR="00E52C3A" w:rsidRPr="007C740F">
        <w:t xml:space="preserve">, defined as those </w:t>
      </w:r>
      <w:r w:rsidR="00EA0902" w:rsidRPr="007C740F">
        <w:t>that usually cause death or disability in the absence of intervention</w:t>
      </w:r>
      <w:r w:rsidR="00E52C3A" w:rsidRPr="007C740F">
        <w:t>,</w:t>
      </w:r>
      <w:r w:rsidR="00EA0902" w:rsidRPr="007C740F">
        <w:t xml:space="preserve"> </w:t>
      </w:r>
      <w:r w:rsidRPr="007C740F">
        <w:t>are an important cause of early death and life-long disability</w:t>
      </w:r>
      <w:r w:rsidR="00FE6114" w:rsidRPr="007C740F">
        <w:t>. T</w:t>
      </w:r>
      <w:r w:rsidR="00215DAC" w:rsidRPr="007C740F">
        <w:t>he</w:t>
      </w:r>
      <w:r w:rsidRPr="007C740F">
        <w:t>ir</w:t>
      </w:r>
      <w:r w:rsidR="00782381" w:rsidRPr="007C740F">
        <w:t xml:space="preserve"> </w:t>
      </w:r>
      <w:r w:rsidR="00807348" w:rsidRPr="007C740F">
        <w:t xml:space="preserve">burden can be greatly reduced by </w:t>
      </w:r>
      <w:r w:rsidR="00E52C3A" w:rsidRPr="007C740F">
        <w:t xml:space="preserve">available </w:t>
      </w:r>
      <w:r w:rsidR="00807348" w:rsidRPr="007C740F">
        <w:t>interventions</w:t>
      </w:r>
      <w:r w:rsidR="00FE6114" w:rsidRPr="007C740F">
        <w:t xml:space="preserve">, but </w:t>
      </w:r>
      <w:r w:rsidR="00782381" w:rsidRPr="007C740F">
        <w:t xml:space="preserve">diagnosis </w:t>
      </w:r>
      <w:r w:rsidR="006F7FA3" w:rsidRPr="007C740F">
        <w:t xml:space="preserve">often </w:t>
      </w:r>
      <w:r w:rsidR="00782381" w:rsidRPr="007C740F">
        <w:t>require</w:t>
      </w:r>
      <w:r w:rsidR="006F7FA3" w:rsidRPr="007C740F">
        <w:t>s</w:t>
      </w:r>
      <w:r w:rsidR="00782381" w:rsidRPr="007C740F">
        <w:t xml:space="preserve"> clinical and laboratory facilities that are </w:t>
      </w:r>
      <w:r w:rsidR="0064794C" w:rsidRPr="007C740F">
        <w:t xml:space="preserve">only </w:t>
      </w:r>
      <w:r w:rsidR="00782381" w:rsidRPr="007C740F">
        <w:t xml:space="preserve">available in high income settings. </w:t>
      </w:r>
      <w:r w:rsidR="0064794C" w:rsidRPr="007C740F">
        <w:t xml:space="preserve">The </w:t>
      </w:r>
      <w:r w:rsidR="0024012F" w:rsidRPr="007C740F">
        <w:t xml:space="preserve">consequent </w:t>
      </w:r>
      <w:r w:rsidR="0064794C" w:rsidRPr="007C740F">
        <w:t xml:space="preserve">shortage of </w:t>
      </w:r>
      <w:r w:rsidR="00782381" w:rsidRPr="007C740F">
        <w:t xml:space="preserve">reliable local epidemiological data </w:t>
      </w:r>
      <w:r w:rsidR="00E52C3A" w:rsidRPr="007C740F">
        <w:t xml:space="preserve">on the birth prevalence and outcomes of </w:t>
      </w:r>
      <w:r w:rsidR="0005403D" w:rsidRPr="007C740F">
        <w:t>congenital disorders</w:t>
      </w:r>
      <w:r w:rsidR="001E2939" w:rsidRPr="007C740F">
        <w:t xml:space="preserve"> in </w:t>
      </w:r>
      <w:r w:rsidR="00E52C3A" w:rsidRPr="007C740F">
        <w:t xml:space="preserve">much of </w:t>
      </w:r>
      <w:r w:rsidR="001E2939" w:rsidRPr="007C740F">
        <w:t>the world</w:t>
      </w:r>
      <w:r w:rsidR="0064794C" w:rsidRPr="007C740F">
        <w:t xml:space="preserve"> </w:t>
      </w:r>
      <w:r w:rsidR="00D72DCB" w:rsidRPr="007C740F">
        <w:t xml:space="preserve">has led to </w:t>
      </w:r>
      <w:r w:rsidR="00782381" w:rsidRPr="007C740F">
        <w:t>serious under-estimation of the</w:t>
      </w:r>
      <w:r w:rsidR="001E2939" w:rsidRPr="007C740F">
        <w:t>ir</w:t>
      </w:r>
      <w:r w:rsidR="00782381" w:rsidRPr="007C740F">
        <w:t xml:space="preserve"> public health importance</w:t>
      </w:r>
      <w:r w:rsidR="00E52C3A" w:rsidRPr="007C740F">
        <w:t xml:space="preserve"> and</w:t>
      </w:r>
      <w:r w:rsidR="00693A32" w:rsidRPr="007C740F">
        <w:t xml:space="preserve"> impedes the development of policies for their prevention and care.</w:t>
      </w:r>
    </w:p>
    <w:p w14:paraId="79B575DE" w14:textId="0D5CD308" w:rsidR="00E54365" w:rsidRPr="007C740F" w:rsidRDefault="00E52C3A" w:rsidP="00C63101">
      <w:pPr>
        <w:pStyle w:val="BodyText1"/>
        <w:jc w:val="both"/>
        <w:rPr>
          <w:iCs/>
        </w:rPr>
      </w:pPr>
      <w:r w:rsidRPr="007C740F">
        <w:t xml:space="preserve">We propose </w:t>
      </w:r>
      <w:r w:rsidR="00C57015" w:rsidRPr="007C740F">
        <w:t xml:space="preserve">that this problem can be largely overcome because </w:t>
      </w:r>
      <w:r w:rsidR="006F7FA3" w:rsidRPr="007C740F">
        <w:t xml:space="preserve">the birth prevalence </w:t>
      </w:r>
      <w:r w:rsidR="00A945A1" w:rsidRPr="007C740F">
        <w:t xml:space="preserve">of four major disorder groups </w:t>
      </w:r>
      <w:r w:rsidR="006F7FA3" w:rsidRPr="007C740F">
        <w:t>is largely determined by endogenous causes and so is relatively constant for any given population</w:t>
      </w:r>
      <w:r w:rsidR="0024012F" w:rsidRPr="007C740F">
        <w:t xml:space="preserve"> in the absence of intervention</w:t>
      </w:r>
      <w:r w:rsidR="00D10880" w:rsidRPr="007C740F">
        <w:t xml:space="preserve"> before or during pregnancy.</w:t>
      </w:r>
      <w:r w:rsidR="00490D05" w:rsidRPr="007C740F">
        <w:t xml:space="preserve"> </w:t>
      </w:r>
      <w:r w:rsidR="00FE6114" w:rsidRPr="007C740F">
        <w:t>That is,</w:t>
      </w:r>
      <w:r w:rsidR="0024012F" w:rsidRPr="007C740F">
        <w:t xml:space="preserve"> </w:t>
      </w:r>
      <w:r w:rsidR="00E54365" w:rsidRPr="007C740F">
        <w:t xml:space="preserve">they have a predictable </w:t>
      </w:r>
      <w:r w:rsidR="00E54365" w:rsidRPr="007C740F">
        <w:rPr>
          <w:i/>
        </w:rPr>
        <w:t>baseline birth prevalence</w:t>
      </w:r>
      <w:r w:rsidR="00CC5C56" w:rsidRPr="007C740F">
        <w:rPr>
          <w:i/>
          <w:vertAlign w:val="superscript"/>
        </w:rPr>
        <w:t>2</w:t>
      </w:r>
      <w:r w:rsidR="00E54365" w:rsidRPr="007C740F">
        <w:t>.</w:t>
      </w:r>
      <w:r w:rsidR="006F7FA3" w:rsidRPr="007C740F">
        <w:t xml:space="preserve"> </w:t>
      </w:r>
      <w:r w:rsidR="00E54365" w:rsidRPr="007C740F">
        <w:t>T</w:t>
      </w:r>
      <w:r w:rsidR="006F7FA3" w:rsidRPr="007C740F">
        <w:t xml:space="preserve">he </w:t>
      </w:r>
      <w:r w:rsidR="00FE6114" w:rsidRPr="007C740F">
        <w:t xml:space="preserve">baseline </w:t>
      </w:r>
      <w:r w:rsidR="006F7FA3" w:rsidRPr="007C740F">
        <w:t xml:space="preserve">birth prevalence of </w:t>
      </w:r>
      <w:r w:rsidR="0064794C" w:rsidRPr="007C740F">
        <w:t>m</w:t>
      </w:r>
      <w:r w:rsidR="001234DD" w:rsidRPr="007C740F">
        <w:t>ost</w:t>
      </w:r>
      <w:r w:rsidR="0064794C" w:rsidRPr="007C740F">
        <w:t xml:space="preserve"> </w:t>
      </w:r>
      <w:r w:rsidR="00D10880" w:rsidRPr="007C740F">
        <w:rPr>
          <w:i/>
          <w:iCs/>
        </w:rPr>
        <w:t>non-genetic</w:t>
      </w:r>
      <w:r w:rsidR="00D10880" w:rsidRPr="007C740F">
        <w:t xml:space="preserve"> </w:t>
      </w:r>
      <w:r w:rsidR="006F7FA3" w:rsidRPr="007C740F">
        <w:rPr>
          <w:i/>
        </w:rPr>
        <w:t>congenital malformations</w:t>
      </w:r>
      <w:r w:rsidR="006F7FA3" w:rsidRPr="007C740F">
        <w:t xml:space="preserve"> is </w:t>
      </w:r>
      <w:r w:rsidR="00693A32" w:rsidRPr="007C740F">
        <w:t xml:space="preserve">broadly </w:t>
      </w:r>
      <w:r w:rsidR="006F7FA3" w:rsidRPr="007C740F">
        <w:t>similar worldwide</w:t>
      </w:r>
      <w:r w:rsidR="001234DD" w:rsidRPr="007C740F">
        <w:t xml:space="preserve">; </w:t>
      </w:r>
      <w:r w:rsidR="00A945A1" w:rsidRPr="007C740F">
        <w:t xml:space="preserve">that </w:t>
      </w:r>
      <w:r w:rsidR="00C57015" w:rsidRPr="007C740F">
        <w:t xml:space="preserve">of common </w:t>
      </w:r>
      <w:r w:rsidR="00C57015" w:rsidRPr="007C740F">
        <w:rPr>
          <w:i/>
        </w:rPr>
        <w:t>chromosomal disorders</w:t>
      </w:r>
      <w:r w:rsidR="00C57015" w:rsidRPr="007C740F">
        <w:t xml:space="preserve"> is predictably related to maternal age</w:t>
      </w:r>
      <w:r w:rsidR="00E54365" w:rsidRPr="007C740F">
        <w:t xml:space="preserve">, and that of </w:t>
      </w:r>
      <w:r w:rsidR="00C57015" w:rsidRPr="007C740F">
        <w:rPr>
          <w:i/>
        </w:rPr>
        <w:t>rare single gene disorders</w:t>
      </w:r>
      <w:r w:rsidR="00C57015" w:rsidRPr="007C740F">
        <w:t xml:space="preserve"> </w:t>
      </w:r>
      <w:r w:rsidR="00D10880" w:rsidRPr="007C740F">
        <w:t>is predictable</w:t>
      </w:r>
      <w:r w:rsidR="00E54365" w:rsidRPr="007C740F">
        <w:t xml:space="preserve"> from the </w:t>
      </w:r>
      <w:r w:rsidR="00C57015" w:rsidRPr="007C740F">
        <w:t xml:space="preserve">basic </w:t>
      </w:r>
      <w:r w:rsidR="00E54365" w:rsidRPr="007C740F">
        <w:t xml:space="preserve">principles of </w:t>
      </w:r>
      <w:r w:rsidR="00C57015" w:rsidRPr="007C740F">
        <w:t>population genetics</w:t>
      </w:r>
      <w:r w:rsidR="00D172A9" w:rsidRPr="007C740F">
        <w:t>,</w:t>
      </w:r>
      <w:r w:rsidR="00D10880" w:rsidRPr="007C740F">
        <w:t xml:space="preserve"> including the effect </w:t>
      </w:r>
      <w:r w:rsidR="00C57015" w:rsidRPr="007C740F">
        <w:t>of parental consanguinity</w:t>
      </w:r>
      <w:r w:rsidR="00E54365" w:rsidRPr="007C740F">
        <w:t>. In addition,</w:t>
      </w:r>
      <w:r w:rsidR="00275654" w:rsidRPr="007C740F">
        <w:t xml:space="preserve"> </w:t>
      </w:r>
      <w:r w:rsidR="00E54365" w:rsidRPr="007C740F">
        <w:t xml:space="preserve">sufficient </w:t>
      </w:r>
      <w:r w:rsidR="0063683D" w:rsidRPr="007C740F">
        <w:t xml:space="preserve">country-specific </w:t>
      </w:r>
      <w:r w:rsidR="00E54365" w:rsidRPr="007C740F">
        <w:t xml:space="preserve">data exist </w:t>
      </w:r>
      <w:r w:rsidR="0063683D" w:rsidRPr="007C740F">
        <w:t xml:space="preserve">on </w:t>
      </w:r>
      <w:r w:rsidR="00FE6114" w:rsidRPr="007C740F">
        <w:t xml:space="preserve">the </w:t>
      </w:r>
      <w:r w:rsidR="00E54365" w:rsidRPr="007C740F">
        <w:t xml:space="preserve">baseline </w:t>
      </w:r>
      <w:r w:rsidR="00275654" w:rsidRPr="007C740F">
        <w:t xml:space="preserve">birth prevalence of </w:t>
      </w:r>
      <w:r w:rsidR="0064794C" w:rsidRPr="007C740F">
        <w:t>neural tube defects</w:t>
      </w:r>
      <w:r w:rsidRPr="007C740F">
        <w:t xml:space="preserve"> and </w:t>
      </w:r>
      <w:r w:rsidR="0064794C" w:rsidRPr="007C740F">
        <w:t xml:space="preserve">oro-facial clefts, </w:t>
      </w:r>
      <w:r w:rsidRPr="007C740F">
        <w:t xml:space="preserve">and the carrier prevalence of </w:t>
      </w:r>
      <w:r w:rsidR="00C57015" w:rsidRPr="007C740F">
        <w:t>haemoglobin disorders</w:t>
      </w:r>
      <w:r w:rsidR="006F7FA3" w:rsidRPr="007C740F">
        <w:t xml:space="preserve">, </w:t>
      </w:r>
      <w:r w:rsidR="00C57015" w:rsidRPr="007C740F">
        <w:t xml:space="preserve">rhesus </w:t>
      </w:r>
      <w:r w:rsidRPr="007C740F">
        <w:t xml:space="preserve">negativity </w:t>
      </w:r>
      <w:r w:rsidR="00C57015" w:rsidRPr="007C740F">
        <w:t>and G6PD deficiency</w:t>
      </w:r>
      <w:r w:rsidR="0063683D" w:rsidRPr="007C740F">
        <w:t xml:space="preserve"> to enable </w:t>
      </w:r>
      <w:r w:rsidRPr="007C740F">
        <w:t xml:space="preserve">country-specific </w:t>
      </w:r>
      <w:r w:rsidR="0063683D" w:rsidRPr="007C740F">
        <w:t>calculation</w:t>
      </w:r>
      <w:r w:rsidRPr="007C740F">
        <w:t>s</w:t>
      </w:r>
      <w:r w:rsidR="006F7FA3" w:rsidRPr="007C740F">
        <w:t>.</w:t>
      </w:r>
      <w:r w:rsidR="00FE6114" w:rsidRPr="007C740F">
        <w:t xml:space="preserve"> </w:t>
      </w:r>
      <w:r w:rsidR="00002C5C" w:rsidRPr="007C740F">
        <w:t>Consequently</w:t>
      </w:r>
      <w:r w:rsidR="00896A43" w:rsidRPr="007C740F">
        <w:t>,</w:t>
      </w:r>
      <w:r w:rsidR="00002C5C" w:rsidRPr="007C740F">
        <w:t xml:space="preserve"> </w:t>
      </w:r>
      <w:r w:rsidR="000F1B93" w:rsidRPr="007C740F">
        <w:t xml:space="preserve">these groups </w:t>
      </w:r>
      <w:r w:rsidR="0064794C" w:rsidRPr="007C740F">
        <w:t xml:space="preserve">may be </w:t>
      </w:r>
      <w:r w:rsidR="001234DD" w:rsidRPr="007C740F">
        <w:t xml:space="preserve">collectively </w:t>
      </w:r>
      <w:r w:rsidR="0064794C" w:rsidRPr="007C740F">
        <w:t xml:space="preserve">called </w:t>
      </w:r>
      <w:r w:rsidR="0064794C" w:rsidRPr="007C740F">
        <w:rPr>
          <w:i/>
        </w:rPr>
        <w:t>endogenous</w:t>
      </w:r>
      <w:r w:rsidR="00E54365" w:rsidRPr="007C740F">
        <w:rPr>
          <w:i/>
        </w:rPr>
        <w:t xml:space="preserve"> congenital disorders.</w:t>
      </w:r>
    </w:p>
    <w:p w14:paraId="7D989BD3" w14:textId="25E816C6" w:rsidR="00711E99" w:rsidRPr="007C740F" w:rsidRDefault="00711E99" w:rsidP="006A4FB0">
      <w:pPr>
        <w:pStyle w:val="Heading2"/>
      </w:pPr>
      <w:bookmarkStart w:id="2" w:name="_Toc193659656"/>
      <w:r w:rsidRPr="007C740F">
        <w:lastRenderedPageBreak/>
        <w:t>Disorder groups included in the MGDb</w:t>
      </w:r>
      <w:bookmarkEnd w:id="2"/>
    </w:p>
    <w:p w14:paraId="01CF7456" w14:textId="244A2882" w:rsidR="00711E99" w:rsidRPr="007C740F" w:rsidRDefault="00711E99" w:rsidP="00E54365">
      <w:pPr>
        <w:pStyle w:val="BodyText1"/>
        <w:rPr>
          <w:iCs/>
        </w:rPr>
      </w:pPr>
      <w:r w:rsidRPr="007C740F">
        <w:rPr>
          <w:iCs/>
        </w:rPr>
        <w:t>The MGDb includes estimates for the birth prevalence and outcomes of the following groups of severe endogenous early-onset disorders</w:t>
      </w:r>
      <w:r w:rsidR="006A4FB0" w:rsidRPr="007C740F">
        <w:rPr>
          <w:iCs/>
        </w:rPr>
        <w:t>.</w:t>
      </w:r>
    </w:p>
    <w:p w14:paraId="6E5D9A1C" w14:textId="77777777" w:rsidR="00711E99" w:rsidRPr="007C740F" w:rsidRDefault="00711E99" w:rsidP="006A4FB0">
      <w:pPr>
        <w:pStyle w:val="BodyText1"/>
        <w:numPr>
          <w:ilvl w:val="0"/>
          <w:numId w:val="29"/>
        </w:numPr>
        <w:rPr>
          <w:iCs/>
        </w:rPr>
      </w:pPr>
      <w:r w:rsidRPr="007C740F">
        <w:rPr>
          <w:iCs/>
        </w:rPr>
        <w:t>Chromosomal disorders: Down syndrome, other trisomies, rare chromosomal disorders, Turner syndrome and Klinefelter syndrome.</w:t>
      </w:r>
    </w:p>
    <w:p w14:paraId="6CB29635" w14:textId="2BA8DED0" w:rsidR="00711E99" w:rsidRPr="007C740F" w:rsidRDefault="00711E99" w:rsidP="006A4FB0">
      <w:pPr>
        <w:pStyle w:val="BodyText1"/>
        <w:numPr>
          <w:ilvl w:val="0"/>
          <w:numId w:val="29"/>
        </w:numPr>
        <w:rPr>
          <w:iCs/>
        </w:rPr>
      </w:pPr>
      <w:r w:rsidRPr="007C740F">
        <w:rPr>
          <w:iCs/>
        </w:rPr>
        <w:t xml:space="preserve">Non-genetic (and isolated) congenital malformations: anencephaly, spina bifida and </w:t>
      </w:r>
      <w:r w:rsidR="006A4FB0" w:rsidRPr="007C740F">
        <w:rPr>
          <w:iCs/>
        </w:rPr>
        <w:t>encephalocele, oro-facial clefts, congenital heart disease, other severe malformations, less severe malformations (limb and genitalia)</w:t>
      </w:r>
    </w:p>
    <w:p w14:paraId="4F47111F" w14:textId="72E7B817" w:rsidR="00711E99" w:rsidRPr="007C740F" w:rsidRDefault="006A4FB0" w:rsidP="006A4FB0">
      <w:pPr>
        <w:pStyle w:val="BodyText1"/>
        <w:numPr>
          <w:ilvl w:val="0"/>
          <w:numId w:val="29"/>
        </w:numPr>
        <w:rPr>
          <w:iCs/>
        </w:rPr>
      </w:pPr>
      <w:r w:rsidRPr="007C740F">
        <w:rPr>
          <w:iCs/>
        </w:rPr>
        <w:t xml:space="preserve">Two common disorders due to genetic risk factors: </w:t>
      </w:r>
      <w:r w:rsidR="00711E99" w:rsidRPr="007C740F">
        <w:rPr>
          <w:iCs/>
        </w:rPr>
        <w:t>rhesus haemolytic disease of the newborn and neonatal jaundice due to G6PD deficiency.</w:t>
      </w:r>
    </w:p>
    <w:p w14:paraId="4177C135" w14:textId="77777777" w:rsidR="00E54365" w:rsidRPr="007C740F" w:rsidRDefault="00E54365" w:rsidP="004C3A69">
      <w:pPr>
        <w:pStyle w:val="Heading2"/>
      </w:pPr>
      <w:bookmarkStart w:id="3" w:name="_Toc193659657"/>
      <w:r w:rsidRPr="007C740F">
        <w:t>The importance of the baseline birth prevalence</w:t>
      </w:r>
      <w:bookmarkEnd w:id="3"/>
    </w:p>
    <w:p w14:paraId="548C11B0" w14:textId="0A3E28C0" w:rsidR="00983E4F" w:rsidRPr="007C740F" w:rsidRDefault="006F7FA3" w:rsidP="001F6D1C">
      <w:pPr>
        <w:pStyle w:val="BodyText1"/>
        <w:jc w:val="both"/>
      </w:pPr>
      <w:r w:rsidRPr="007C740F">
        <w:t xml:space="preserve">The availability of a baseline birth prevalence is an unusual, </w:t>
      </w:r>
      <w:r w:rsidR="000A6AF9" w:rsidRPr="007C740F">
        <w:t xml:space="preserve">and </w:t>
      </w:r>
      <w:r w:rsidRPr="007C740F">
        <w:t xml:space="preserve">possibly unique characteristic </w:t>
      </w:r>
      <w:r w:rsidR="006C6029" w:rsidRPr="007C740F">
        <w:t xml:space="preserve">of </w:t>
      </w:r>
      <w:r w:rsidR="0064794C" w:rsidRPr="007C740F">
        <w:t>endogenous</w:t>
      </w:r>
      <w:r w:rsidR="006C6029" w:rsidRPr="007C740F">
        <w:t xml:space="preserve"> congenital disorders. It </w:t>
      </w:r>
      <w:r w:rsidRPr="007C740F">
        <w:t>offers exceptional advantage</w:t>
      </w:r>
      <w:r w:rsidR="006C6029" w:rsidRPr="007C740F">
        <w:t>s</w:t>
      </w:r>
      <w:r w:rsidRPr="007C740F">
        <w:t xml:space="preserve"> </w:t>
      </w:r>
      <w:r w:rsidR="001234DD" w:rsidRPr="007C740F">
        <w:t>to epidemiologist</w:t>
      </w:r>
      <w:r w:rsidR="00E52C3A" w:rsidRPr="007C740F">
        <w:t>s</w:t>
      </w:r>
      <w:r w:rsidR="001234DD" w:rsidRPr="007C740F">
        <w:t xml:space="preserve"> </w:t>
      </w:r>
      <w:r w:rsidR="00E163ED" w:rsidRPr="007C740F">
        <w:t xml:space="preserve">and other relevant stakeholders </w:t>
      </w:r>
      <w:r w:rsidR="006C6029" w:rsidRPr="007C740F">
        <w:t>because once</w:t>
      </w:r>
      <w:r w:rsidRPr="007C740F">
        <w:t xml:space="preserve"> it is known</w:t>
      </w:r>
      <w:r w:rsidR="009206E4" w:rsidRPr="007C740F">
        <w:t>,</w:t>
      </w:r>
      <w:r w:rsidRPr="007C740F">
        <w:t xml:space="preserve"> it </w:t>
      </w:r>
      <w:r w:rsidR="006C6029" w:rsidRPr="007C740F">
        <w:t xml:space="preserve">can be related </w:t>
      </w:r>
      <w:r w:rsidRPr="007C740F">
        <w:t>to available demographic and survival data and the observed effects of interventions to reach country-specific estimates of the distribution of outcomes</w:t>
      </w:r>
      <w:r w:rsidR="006C6029" w:rsidRPr="007C740F">
        <w:t xml:space="preserve"> </w:t>
      </w:r>
      <w:r w:rsidR="00D245F0" w:rsidRPr="007C740F">
        <w:t xml:space="preserve">including </w:t>
      </w:r>
      <w:r w:rsidR="00D10880" w:rsidRPr="007C740F">
        <w:t xml:space="preserve">pre-pregnancy </w:t>
      </w:r>
      <w:r w:rsidR="001234DD" w:rsidRPr="007C740F">
        <w:t>pre</w:t>
      </w:r>
      <w:r w:rsidR="009206E4" w:rsidRPr="007C740F">
        <w:t>vention,</w:t>
      </w:r>
      <w:r w:rsidR="00D245F0" w:rsidRPr="007C740F">
        <w:t xml:space="preserve"> </w:t>
      </w:r>
      <w:r w:rsidR="00D10880" w:rsidRPr="007C740F">
        <w:t xml:space="preserve">termination of pregnancy, </w:t>
      </w:r>
      <w:r w:rsidR="00D245F0" w:rsidRPr="007C740F">
        <w:t>fetal death, under-5 death, disability</w:t>
      </w:r>
      <w:r w:rsidR="007C75B8" w:rsidRPr="007C740F">
        <w:t>,</w:t>
      </w:r>
      <w:r w:rsidR="00D245F0" w:rsidRPr="007C740F">
        <w:t xml:space="preserve"> and cure. Fu</w:t>
      </w:r>
      <w:r w:rsidR="000F7F0E" w:rsidRPr="007C740F">
        <w:t>r</w:t>
      </w:r>
      <w:r w:rsidR="00D245F0" w:rsidRPr="007C740F">
        <w:t>thermore</w:t>
      </w:r>
      <w:r w:rsidR="007B313B" w:rsidRPr="007C740F">
        <w:t>,</w:t>
      </w:r>
      <w:r w:rsidR="00D245F0" w:rsidRPr="007C740F">
        <w:t xml:space="preserve"> </w:t>
      </w:r>
      <w:r w:rsidRPr="007C740F">
        <w:t xml:space="preserve">the sum of </w:t>
      </w:r>
      <w:r w:rsidR="00481BA1" w:rsidRPr="007C740F">
        <w:t>the</w:t>
      </w:r>
      <w:r w:rsidR="00D10880" w:rsidRPr="007C740F">
        <w:t>se</w:t>
      </w:r>
      <w:r w:rsidR="00481BA1" w:rsidRPr="007C740F">
        <w:t xml:space="preserve"> </w:t>
      </w:r>
      <w:r w:rsidR="006C6029" w:rsidRPr="007C740F">
        <w:t xml:space="preserve">outcomes </w:t>
      </w:r>
      <w:r w:rsidRPr="007C740F">
        <w:t xml:space="preserve">must </w:t>
      </w:r>
      <w:r w:rsidR="006C6029" w:rsidRPr="007C740F">
        <w:t>fill</w:t>
      </w:r>
      <w:r w:rsidR="0030228D" w:rsidRPr="007C740F">
        <w:t xml:space="preserve"> </w:t>
      </w:r>
      <w:r w:rsidR="009F1024" w:rsidRPr="007C740F">
        <w:t>(</w:t>
      </w:r>
      <w:r w:rsidR="0030228D" w:rsidRPr="007C740F">
        <w:t xml:space="preserve">or </w:t>
      </w:r>
      <w:r w:rsidR="00481BA1" w:rsidRPr="007C740F">
        <w:t>equal</w:t>
      </w:r>
      <w:r w:rsidR="009F1024" w:rsidRPr="007C740F">
        <w:t>)</w:t>
      </w:r>
      <w:r w:rsidR="006C6029" w:rsidRPr="007C740F">
        <w:t xml:space="preserve"> </w:t>
      </w:r>
      <w:r w:rsidRPr="007C740F">
        <w:t xml:space="preserve">the original “envelope” </w:t>
      </w:r>
      <w:r w:rsidR="006C6029" w:rsidRPr="007C740F">
        <w:t xml:space="preserve">of </w:t>
      </w:r>
      <w:r w:rsidRPr="007C740F">
        <w:t xml:space="preserve">baseline birth prevalence. That is, </w:t>
      </w:r>
      <w:r w:rsidR="001234DD" w:rsidRPr="007C740F">
        <w:t xml:space="preserve">this type of </w:t>
      </w:r>
      <w:r w:rsidR="00E54365" w:rsidRPr="007C740F">
        <w:t xml:space="preserve">disorder </w:t>
      </w:r>
      <w:r w:rsidRPr="007C740F">
        <w:t>can be handled as a closed system.</w:t>
      </w:r>
      <w:r w:rsidR="009F1024" w:rsidRPr="007C740F">
        <w:t xml:space="preserve"> </w:t>
      </w:r>
      <w:r w:rsidR="00AA3095" w:rsidRPr="007C740F">
        <w:t xml:space="preserve">The </w:t>
      </w:r>
      <w:r w:rsidR="00871319" w:rsidRPr="007C740F">
        <w:t>MGDb</w:t>
      </w:r>
      <w:r w:rsidR="00AA3095" w:rsidRPr="007C740F">
        <w:t xml:space="preserve"> </w:t>
      </w:r>
      <w:r w:rsidR="003F4F1C" w:rsidRPr="007C740F">
        <w:t xml:space="preserve">exploits </w:t>
      </w:r>
      <w:r w:rsidRPr="007C740F">
        <w:t xml:space="preserve">this </w:t>
      </w:r>
      <w:r w:rsidR="003F4F1C" w:rsidRPr="007C740F">
        <w:t xml:space="preserve">exceptional </w:t>
      </w:r>
      <w:r w:rsidR="00AA3095" w:rsidRPr="007C740F">
        <w:t>characteristic</w:t>
      </w:r>
      <w:r w:rsidR="003F4F1C" w:rsidRPr="007C740F">
        <w:t xml:space="preserve"> </w:t>
      </w:r>
      <w:r w:rsidR="004D25F3" w:rsidRPr="007C740F">
        <w:t xml:space="preserve">to generate </w:t>
      </w:r>
      <w:r w:rsidR="003F4F1C" w:rsidRPr="007C740F">
        <w:t xml:space="preserve">evidence-based estimates of </w:t>
      </w:r>
      <w:r w:rsidR="004D25F3" w:rsidRPr="007C740F">
        <w:t xml:space="preserve">the </w:t>
      </w:r>
      <w:r w:rsidR="003F4F1C" w:rsidRPr="007C740F">
        <w:t>birth prevalence and outcomes</w:t>
      </w:r>
      <w:r w:rsidR="004D25F3" w:rsidRPr="007C740F">
        <w:t xml:space="preserve"> of </w:t>
      </w:r>
      <w:r w:rsidR="0064794C" w:rsidRPr="007C740F">
        <w:t>endogenous</w:t>
      </w:r>
      <w:r w:rsidR="004D25F3" w:rsidRPr="007C740F">
        <w:t xml:space="preserve"> congenital disorders</w:t>
      </w:r>
      <w:r w:rsidR="00871319" w:rsidRPr="007C740F">
        <w:t xml:space="preserve"> </w:t>
      </w:r>
      <w:r w:rsidR="001234DD" w:rsidRPr="007C740F">
        <w:t>for use</w:t>
      </w:r>
      <w:r w:rsidR="00F21602" w:rsidRPr="007C740F">
        <w:t xml:space="preserve"> in</w:t>
      </w:r>
      <w:r w:rsidR="009501DA" w:rsidRPr="007C740F">
        <w:t xml:space="preserve"> service planning.</w:t>
      </w:r>
      <w:r w:rsidR="00ED2EEF" w:rsidRPr="007C740F">
        <w:t xml:space="preserve"> </w:t>
      </w:r>
      <w:r w:rsidR="00D10880" w:rsidRPr="007C740F">
        <w:t>Tables of</w:t>
      </w:r>
      <w:r w:rsidR="009F1024" w:rsidRPr="007C740F">
        <w:t xml:space="preserve"> country regional and </w:t>
      </w:r>
      <w:r w:rsidR="00396B26" w:rsidRPr="007C740F">
        <w:t>global</w:t>
      </w:r>
      <w:r w:rsidR="009F1024" w:rsidRPr="007C740F">
        <w:t xml:space="preserve"> key outputs</w:t>
      </w:r>
      <w:r w:rsidR="00396B26" w:rsidRPr="007C740F">
        <w:t xml:space="preserve"> </w:t>
      </w:r>
      <w:r w:rsidR="001F6D1C" w:rsidRPr="007C740F">
        <w:t>are</w:t>
      </w:r>
      <w:r w:rsidR="00396B26" w:rsidRPr="007C740F">
        <w:t xml:space="preserve"> </w:t>
      </w:r>
      <w:r w:rsidR="00ED2EEF" w:rsidRPr="007C740F">
        <w:t>available</w:t>
      </w:r>
      <w:r w:rsidR="00576058" w:rsidRPr="007C740F">
        <w:t xml:space="preserve"> </w:t>
      </w:r>
      <w:r w:rsidR="00396B26" w:rsidRPr="007C740F">
        <w:t xml:space="preserve">in the </w:t>
      </w:r>
      <w:r w:rsidR="00D10880" w:rsidRPr="007C740F">
        <w:t xml:space="preserve">LSHTM </w:t>
      </w:r>
      <w:r w:rsidR="00396B26" w:rsidRPr="007C740F">
        <w:t>repository.</w:t>
      </w:r>
      <w:r w:rsidR="00ED2EEF" w:rsidRPr="007C740F">
        <w:t xml:space="preserve"> </w:t>
      </w:r>
    </w:p>
    <w:p w14:paraId="3972CA51" w14:textId="704BFF7A" w:rsidR="00BC2244" w:rsidRPr="007C740F" w:rsidRDefault="00BC2244" w:rsidP="001F6D1C">
      <w:pPr>
        <w:pStyle w:val="BodyText1"/>
        <w:jc w:val="both"/>
      </w:pPr>
      <w:r w:rsidRPr="007C740F">
        <w:t>The epidemiological methods specific to congenital disorders</w:t>
      </w:r>
      <w:r w:rsidRPr="007C740F" w:rsidDel="00F21602">
        <w:t xml:space="preserve"> </w:t>
      </w:r>
      <w:r w:rsidRPr="007C740F">
        <w:t>developed for the MGDb are simple enough to be used by non-specialist health professionals.</w:t>
      </w:r>
      <w:r w:rsidRPr="007C740F">
        <w:rPr>
          <w:rStyle w:val="FootnoteReference"/>
        </w:rPr>
        <w:footnoteReference w:id="3"/>
      </w:r>
      <w:r w:rsidRPr="007C740F">
        <w:t xml:space="preserve"> This article provides a general introduction. All </w:t>
      </w:r>
      <w:r w:rsidR="00476A1E" w:rsidRPr="007C740F">
        <w:t xml:space="preserve">the </w:t>
      </w:r>
      <w:r w:rsidRPr="007C740F">
        <w:t xml:space="preserve">estimates </w:t>
      </w:r>
      <w:r w:rsidR="007B313B" w:rsidRPr="007C740F">
        <w:t>mentioned</w:t>
      </w:r>
      <w:r w:rsidRPr="007C740F">
        <w:t xml:space="preserve"> here are supported </w:t>
      </w:r>
      <w:r w:rsidR="007B313B" w:rsidRPr="007C740F">
        <w:t xml:space="preserve">in </w:t>
      </w:r>
      <w:r w:rsidR="00476A1E" w:rsidRPr="007C740F">
        <w:t xml:space="preserve">the remaining </w:t>
      </w:r>
      <w:r w:rsidR="007B313B" w:rsidRPr="007C740F">
        <w:t xml:space="preserve">topic- or disorder-specific articles </w:t>
      </w:r>
      <w:r w:rsidR="00476A1E" w:rsidRPr="007C740F">
        <w:t xml:space="preserve">in this series and their </w:t>
      </w:r>
      <w:r w:rsidR="007B313B" w:rsidRPr="007C740F">
        <w:t>annexes.</w:t>
      </w:r>
    </w:p>
    <w:p w14:paraId="4092DAFF" w14:textId="10C16A4A" w:rsidR="0016308D" w:rsidRPr="007C740F" w:rsidRDefault="00BC2244" w:rsidP="001F6D1C">
      <w:pPr>
        <w:pStyle w:val="BodyText1"/>
        <w:jc w:val="both"/>
        <w:rPr>
          <w:i/>
        </w:rPr>
      </w:pPr>
      <w:r w:rsidRPr="007C740F">
        <w:rPr>
          <w:i/>
        </w:rPr>
        <w:t>We emphasise that t</w:t>
      </w:r>
      <w:r w:rsidR="0016308D" w:rsidRPr="007C740F">
        <w:rPr>
          <w:i/>
        </w:rPr>
        <w:t xml:space="preserve">he </w:t>
      </w:r>
      <w:r w:rsidR="00871319" w:rsidRPr="007C740F">
        <w:rPr>
          <w:i/>
        </w:rPr>
        <w:t>MGDb</w:t>
      </w:r>
      <w:r w:rsidR="0016308D" w:rsidRPr="007C740F">
        <w:rPr>
          <w:i/>
        </w:rPr>
        <w:t xml:space="preserve"> does not pretend to provide accurate figures. Rather, it </w:t>
      </w:r>
      <w:r w:rsidR="00535DCD" w:rsidRPr="007C740F">
        <w:rPr>
          <w:i/>
        </w:rPr>
        <w:t>offer</w:t>
      </w:r>
      <w:r w:rsidR="002A74AF" w:rsidRPr="007C740F">
        <w:rPr>
          <w:i/>
        </w:rPr>
        <w:t>s</w:t>
      </w:r>
      <w:r w:rsidR="00535DCD" w:rsidRPr="007C740F">
        <w:rPr>
          <w:i/>
        </w:rPr>
        <w:t xml:space="preserve"> </w:t>
      </w:r>
      <w:r w:rsidR="0016308D" w:rsidRPr="007C740F">
        <w:rPr>
          <w:i/>
        </w:rPr>
        <w:t>a framework for assess</w:t>
      </w:r>
      <w:r w:rsidRPr="007C740F">
        <w:rPr>
          <w:i/>
        </w:rPr>
        <w:t>ing</w:t>
      </w:r>
      <w:r w:rsidR="0016308D" w:rsidRPr="007C740F">
        <w:rPr>
          <w:i/>
        </w:rPr>
        <w:t xml:space="preserve"> the burden of </w:t>
      </w:r>
      <w:r w:rsidR="002A74AF" w:rsidRPr="007C740F">
        <w:rPr>
          <w:i/>
        </w:rPr>
        <w:t xml:space="preserve">endogenous </w:t>
      </w:r>
      <w:r w:rsidR="0016308D" w:rsidRPr="007C740F">
        <w:rPr>
          <w:i/>
        </w:rPr>
        <w:t>congenital disorders and generate</w:t>
      </w:r>
      <w:r w:rsidR="00137C80" w:rsidRPr="007C740F">
        <w:rPr>
          <w:i/>
        </w:rPr>
        <w:t>s</w:t>
      </w:r>
      <w:r w:rsidR="0016308D" w:rsidRPr="007C740F">
        <w:rPr>
          <w:i/>
        </w:rPr>
        <w:t xml:space="preserve"> provisional but evidence-based estimates intended to fill the void caused by the absence of observational </w:t>
      </w:r>
      <w:r w:rsidR="002A52A5" w:rsidRPr="007C740F">
        <w:rPr>
          <w:i/>
        </w:rPr>
        <w:t>data and</w:t>
      </w:r>
      <w:r w:rsidR="0016308D" w:rsidRPr="007C740F">
        <w:rPr>
          <w:i/>
        </w:rPr>
        <w:t xml:space="preserve"> </w:t>
      </w:r>
      <w:r w:rsidRPr="007C740F">
        <w:rPr>
          <w:i/>
        </w:rPr>
        <w:t xml:space="preserve">so </w:t>
      </w:r>
      <w:r w:rsidR="000023AD" w:rsidRPr="007C740F">
        <w:rPr>
          <w:i/>
        </w:rPr>
        <w:t xml:space="preserve">help </w:t>
      </w:r>
      <w:r w:rsidR="0016308D" w:rsidRPr="007C740F">
        <w:rPr>
          <w:i/>
        </w:rPr>
        <w:t>remove the impasse to policy and service development that often results.</w:t>
      </w:r>
    </w:p>
    <w:p w14:paraId="5CE833DD" w14:textId="77777777" w:rsidR="00F21602" w:rsidRPr="007C740F" w:rsidRDefault="00F21602" w:rsidP="00837D1C">
      <w:pPr>
        <w:pStyle w:val="Heading2"/>
        <w:rPr>
          <w:lang w:eastAsia="en-GB"/>
        </w:rPr>
      </w:pPr>
      <w:bookmarkStart w:id="4" w:name="_Toc193659658"/>
      <w:r w:rsidRPr="007C740F">
        <w:rPr>
          <w:lang w:eastAsia="en-GB"/>
        </w:rPr>
        <w:t>The need for consensus on a terminology for congenital disorders</w:t>
      </w:r>
      <w:bookmarkEnd w:id="4"/>
    </w:p>
    <w:p w14:paraId="531A8D36" w14:textId="250FAFED" w:rsidR="00DE0CC3" w:rsidRPr="007C740F" w:rsidRDefault="00A410AD" w:rsidP="001F6D1C">
      <w:pPr>
        <w:pStyle w:val="BodyText1"/>
        <w:jc w:val="both"/>
      </w:pPr>
      <w:r w:rsidRPr="007C740F">
        <w:t>Poorly defined terminology caused m</w:t>
      </w:r>
      <w:r w:rsidR="00F21602" w:rsidRPr="007C740F">
        <w:t xml:space="preserve">any difficulties in </w:t>
      </w:r>
      <w:r w:rsidR="00C36920" w:rsidRPr="007C740F">
        <w:t xml:space="preserve">developing </w:t>
      </w:r>
      <w:r w:rsidR="00DE0CC3" w:rsidRPr="007C740F">
        <w:t xml:space="preserve">the MGDb. It </w:t>
      </w:r>
      <w:r w:rsidR="00476A1E" w:rsidRPr="007C740F">
        <w:t xml:space="preserve">was </w:t>
      </w:r>
      <w:r w:rsidR="00DE0CC3" w:rsidRPr="007C740F">
        <w:t xml:space="preserve">therefore necessary to define a set of </w:t>
      </w:r>
      <w:r w:rsidR="00F21602" w:rsidRPr="007C740F">
        <w:t xml:space="preserve">terms </w:t>
      </w:r>
      <w:r w:rsidR="00DE0CC3" w:rsidRPr="007C740F">
        <w:t xml:space="preserve">that are </w:t>
      </w:r>
      <w:r w:rsidR="00F21602" w:rsidRPr="007C740F">
        <w:t>sufficiently precise to enable quantitative estimates.</w:t>
      </w:r>
      <w:r w:rsidR="00476A1E" w:rsidRPr="007C740F">
        <w:t xml:space="preserve"> The d</w:t>
      </w:r>
      <w:r w:rsidR="000023AD" w:rsidRPr="007C740F">
        <w:t xml:space="preserve">efinitions </w:t>
      </w:r>
      <w:r w:rsidR="00476A1E" w:rsidRPr="007C740F">
        <w:t xml:space="preserve">offered </w:t>
      </w:r>
      <w:r w:rsidR="000023AD" w:rsidRPr="007C740F">
        <w:t xml:space="preserve">in </w:t>
      </w:r>
      <w:r w:rsidR="00F21602" w:rsidRPr="007C740F">
        <w:rPr>
          <w:i/>
        </w:rPr>
        <w:t>Article 1.1 Terminology</w:t>
      </w:r>
      <w:r w:rsidR="00476A1E" w:rsidRPr="007C740F">
        <w:t xml:space="preserve"> are used throughout this series of articles.</w:t>
      </w:r>
    </w:p>
    <w:p w14:paraId="3CA827FC" w14:textId="548C12B9" w:rsidR="00F21602" w:rsidRPr="007C740F" w:rsidRDefault="00137C80" w:rsidP="001F6D1C">
      <w:pPr>
        <w:pStyle w:val="BodyText1"/>
        <w:jc w:val="both"/>
      </w:pPr>
      <w:r w:rsidRPr="007C740F">
        <w:t>It is not proposed</w:t>
      </w:r>
      <w:r w:rsidR="00F21602" w:rsidRPr="007C740F">
        <w:t xml:space="preserve"> that these terms should be universally adopted. They were developed specifically for use in Community Genetic epidemiology</w:t>
      </w:r>
      <w:r w:rsidR="00F84403" w:rsidRPr="007C740F">
        <w:t xml:space="preserve"> </w:t>
      </w:r>
      <w:r w:rsidR="00F21602" w:rsidRPr="007C740F">
        <w:t xml:space="preserve">and </w:t>
      </w:r>
      <w:r w:rsidR="00F84403" w:rsidRPr="007C740F">
        <w:t xml:space="preserve">some </w:t>
      </w:r>
      <w:r w:rsidR="00F21602" w:rsidRPr="007C740F">
        <w:t xml:space="preserve">may not be acceptable to </w:t>
      </w:r>
      <w:r w:rsidR="00F84403" w:rsidRPr="007C740F">
        <w:lastRenderedPageBreak/>
        <w:t>some</w:t>
      </w:r>
      <w:r w:rsidR="00F21602" w:rsidRPr="007C740F">
        <w:t xml:space="preserve"> specialists. We present them here in the hope of encouraging consultation and movement towards a consensus.</w:t>
      </w:r>
    </w:p>
    <w:p w14:paraId="5C6D9D58" w14:textId="77777777" w:rsidR="009501DA" w:rsidRPr="007C740F" w:rsidRDefault="009425F2" w:rsidP="004C3A69">
      <w:pPr>
        <w:pStyle w:val="Heading2"/>
      </w:pPr>
      <w:bookmarkStart w:id="5" w:name="_Toc193659659"/>
      <w:r w:rsidRPr="007C740F">
        <w:t>The place of environmental congenital disorders</w:t>
      </w:r>
      <w:bookmarkEnd w:id="5"/>
    </w:p>
    <w:p w14:paraId="743A2131" w14:textId="3EF42DAB" w:rsidR="0016308D" w:rsidRPr="007C740F" w:rsidRDefault="00682800" w:rsidP="001F6D1C">
      <w:pPr>
        <w:pStyle w:val="BodyText1"/>
        <w:jc w:val="both"/>
      </w:pPr>
      <w:r w:rsidRPr="007C740F">
        <w:t xml:space="preserve">The </w:t>
      </w:r>
      <w:r w:rsidR="00871319" w:rsidRPr="007C740F">
        <w:t>MGDb</w:t>
      </w:r>
      <w:r w:rsidRPr="007C740F">
        <w:t xml:space="preserve"> </w:t>
      </w:r>
      <w:r w:rsidR="00983E4F" w:rsidRPr="007C740F">
        <w:t>does not</w:t>
      </w:r>
      <w:r w:rsidRPr="007C740F">
        <w:t xml:space="preserve"> </w:t>
      </w:r>
      <w:r w:rsidR="0016308D" w:rsidRPr="007C740F">
        <w:t xml:space="preserve">currently </w:t>
      </w:r>
      <w:r w:rsidR="00983E4F" w:rsidRPr="007C740F">
        <w:t>include congenital disorders caused by environmental risk factors</w:t>
      </w:r>
      <w:r w:rsidR="009501DA" w:rsidRPr="007C740F">
        <w:t xml:space="preserve"> such as </w:t>
      </w:r>
      <w:r w:rsidRPr="007C740F">
        <w:t>maternal infection, malnutrition, or exposure to teratogens</w:t>
      </w:r>
      <w:r w:rsidR="006C6029" w:rsidRPr="007C740F">
        <w:t xml:space="preserve"> because </w:t>
      </w:r>
      <w:r w:rsidR="00A24AEC" w:rsidRPr="007C740F">
        <w:t xml:space="preserve">their baseline birth prevalence </w:t>
      </w:r>
      <w:r w:rsidRPr="007C740F">
        <w:t xml:space="preserve">varies with place, time, and </w:t>
      </w:r>
      <w:r w:rsidR="00476A1E" w:rsidRPr="007C740F">
        <w:t xml:space="preserve">the </w:t>
      </w:r>
      <w:r w:rsidRPr="007C740F">
        <w:t>deployment of interventions</w:t>
      </w:r>
      <w:r w:rsidR="00A24AEC" w:rsidRPr="007C740F">
        <w:t xml:space="preserve">. </w:t>
      </w:r>
      <w:r w:rsidR="00002C5C" w:rsidRPr="007C740F">
        <w:t>O</w:t>
      </w:r>
      <w:r w:rsidR="006C6029" w:rsidRPr="007C740F">
        <w:t xml:space="preserve">ngoing surveillance or periodic surveys are </w:t>
      </w:r>
      <w:r w:rsidR="00476A1E" w:rsidRPr="007C740F">
        <w:t xml:space="preserve">therefore </w:t>
      </w:r>
      <w:r w:rsidR="006C6029" w:rsidRPr="007C740F">
        <w:t xml:space="preserve">required </w:t>
      </w:r>
      <w:r w:rsidR="0016308D" w:rsidRPr="007C740F">
        <w:t xml:space="preserve">but </w:t>
      </w:r>
      <w:r w:rsidRPr="007C740F">
        <w:t xml:space="preserve">insufficient </w:t>
      </w:r>
      <w:r w:rsidR="006C6029" w:rsidRPr="007C740F">
        <w:t>country-</w:t>
      </w:r>
      <w:r w:rsidR="003332CD" w:rsidRPr="007C740F">
        <w:t xml:space="preserve"> and time-</w:t>
      </w:r>
      <w:r w:rsidRPr="007C740F">
        <w:t xml:space="preserve">specific </w:t>
      </w:r>
      <w:r w:rsidR="00473527" w:rsidRPr="007C740F">
        <w:t xml:space="preserve">observational </w:t>
      </w:r>
      <w:r w:rsidRPr="007C740F">
        <w:t xml:space="preserve">data </w:t>
      </w:r>
      <w:r w:rsidR="0012521A" w:rsidRPr="007C740F">
        <w:t>are</w:t>
      </w:r>
      <w:r w:rsidRPr="007C740F">
        <w:t xml:space="preserve"> available </w:t>
      </w:r>
      <w:r w:rsidR="0012521A" w:rsidRPr="007C740F">
        <w:t xml:space="preserve">from </w:t>
      </w:r>
      <w:r w:rsidR="00002C5C" w:rsidRPr="007C740F">
        <w:t xml:space="preserve">the </w:t>
      </w:r>
      <w:r w:rsidR="0012521A" w:rsidRPr="007C740F">
        <w:t xml:space="preserve">countries where they are most prevalent </w:t>
      </w:r>
      <w:r w:rsidR="009425F2" w:rsidRPr="007C740F">
        <w:t xml:space="preserve">to </w:t>
      </w:r>
      <w:r w:rsidR="00473527" w:rsidRPr="007C740F">
        <w:t>permit</w:t>
      </w:r>
      <w:r w:rsidR="009501DA" w:rsidRPr="007C740F">
        <w:t xml:space="preserve"> </w:t>
      </w:r>
      <w:r w:rsidR="006C6029" w:rsidRPr="007C740F">
        <w:t xml:space="preserve">the form of </w:t>
      </w:r>
      <w:r w:rsidR="00983E4F" w:rsidRPr="007C740F">
        <w:t xml:space="preserve">modelling </w:t>
      </w:r>
      <w:r w:rsidR="006C6029" w:rsidRPr="007C740F">
        <w:t xml:space="preserve">used in </w:t>
      </w:r>
      <w:r w:rsidRPr="007C740F">
        <w:t xml:space="preserve">the </w:t>
      </w:r>
      <w:r w:rsidR="00871319" w:rsidRPr="007C740F">
        <w:t>MGDb</w:t>
      </w:r>
      <w:r w:rsidR="006C6029" w:rsidRPr="007C740F">
        <w:t>.</w:t>
      </w:r>
      <w:r w:rsidR="00E356EC" w:rsidRPr="007C740F">
        <w:t xml:space="preserve"> </w:t>
      </w:r>
      <w:r w:rsidR="00473527" w:rsidRPr="007C740F">
        <w:t xml:space="preserve">Should sufficient data become available </w:t>
      </w:r>
      <w:r w:rsidR="00E25BF7" w:rsidRPr="007C740F">
        <w:t>their</w:t>
      </w:r>
      <w:r w:rsidR="00264564" w:rsidRPr="007C740F">
        <w:t xml:space="preserve"> </w:t>
      </w:r>
      <w:r w:rsidR="00E356EC" w:rsidRPr="007C740F">
        <w:t>inclu</w:t>
      </w:r>
      <w:r w:rsidR="00E25BF7" w:rsidRPr="007C740F">
        <w:t>sion</w:t>
      </w:r>
      <w:r w:rsidR="00E356EC" w:rsidRPr="007C740F">
        <w:t xml:space="preserve"> </w:t>
      </w:r>
      <w:r w:rsidR="00E25BF7" w:rsidRPr="007C740F">
        <w:t xml:space="preserve">may be considered </w:t>
      </w:r>
      <w:r w:rsidR="009425F2" w:rsidRPr="007C740F">
        <w:t>in the future.</w:t>
      </w:r>
      <w:r w:rsidR="009425F2" w:rsidRPr="007C740F">
        <w:rPr>
          <w:rStyle w:val="FootnoteReference"/>
        </w:rPr>
        <w:footnoteReference w:id="4"/>
      </w:r>
    </w:p>
    <w:p w14:paraId="597DE330" w14:textId="552EF733" w:rsidR="002467CD" w:rsidRPr="007C740F" w:rsidRDefault="0016308D" w:rsidP="001F6D1C">
      <w:pPr>
        <w:pStyle w:val="BodyText1"/>
        <w:jc w:val="both"/>
      </w:pPr>
      <w:r w:rsidRPr="007C740F">
        <w:t xml:space="preserve">This </w:t>
      </w:r>
      <w:r w:rsidR="00F1409C" w:rsidRPr="007C740F">
        <w:t>exclusion does not</w:t>
      </w:r>
      <w:r w:rsidRPr="007C740F">
        <w:t xml:space="preserve"> detract from the relevance of environmental congenital disorders. They have high priority </w:t>
      </w:r>
      <w:r w:rsidR="00871319" w:rsidRPr="007C740F">
        <w:t xml:space="preserve">in WHO recommendations for pregnancy care </w:t>
      </w:r>
      <w:r w:rsidRPr="007C740F">
        <w:t xml:space="preserve">because </w:t>
      </w:r>
      <w:r w:rsidR="00E25BF7" w:rsidRPr="007C740F">
        <w:t xml:space="preserve">affected births </w:t>
      </w:r>
      <w:r w:rsidRPr="007C740F">
        <w:t>can be largely prevented by basic public health interventions including sanitation, immunisation, nutritional supplementation, restriction of exposure to teratogens, and diagnosis and treatment for the mother before or during pregnancy (WHO 2013a, 2013b).</w:t>
      </w:r>
      <w:r w:rsidR="002467CD" w:rsidRPr="007C740F">
        <w:t xml:space="preserve"> The discussion therefore includes a very provisional attempt to grasp their present birth prevalence and outcomes. </w:t>
      </w:r>
    </w:p>
    <w:p w14:paraId="3F908F8F" w14:textId="3888D01D" w:rsidR="007704E5" w:rsidRPr="007C740F" w:rsidRDefault="000023AD" w:rsidP="001F6D1C">
      <w:pPr>
        <w:pStyle w:val="BodyText1"/>
        <w:jc w:val="both"/>
      </w:pPr>
      <w:r w:rsidRPr="007C740F">
        <w:t>T</w:t>
      </w:r>
      <w:r w:rsidR="007704E5" w:rsidRPr="007C740F">
        <w:t xml:space="preserve">he distinction between environmental and </w:t>
      </w:r>
      <w:r w:rsidR="0064794C" w:rsidRPr="007C740F">
        <w:t>endogenous</w:t>
      </w:r>
      <w:r w:rsidR="007704E5" w:rsidRPr="007C740F">
        <w:t xml:space="preserve"> congenital disorders used in the </w:t>
      </w:r>
      <w:r w:rsidR="00871319" w:rsidRPr="007C740F">
        <w:t>MGDb</w:t>
      </w:r>
      <w:r w:rsidR="007704E5" w:rsidRPr="007C740F">
        <w:t xml:space="preserve"> is not absolute: some disorders classed as </w:t>
      </w:r>
      <w:r w:rsidR="0064794C" w:rsidRPr="007C740F">
        <w:t>endogenous</w:t>
      </w:r>
      <w:r w:rsidR="007704E5" w:rsidRPr="007C740F">
        <w:t xml:space="preserve"> are also strongly influenced by environmental factors, and environmental influences usually interact with genetic predisposition</w:t>
      </w:r>
      <w:r w:rsidR="00476A1E" w:rsidRPr="007C740F">
        <w:t>s</w:t>
      </w:r>
      <w:r w:rsidR="007704E5" w:rsidRPr="007C740F">
        <w:rPr>
          <w:rStyle w:val="FootnoteReference"/>
        </w:rPr>
        <w:footnoteReference w:id="5"/>
      </w:r>
      <w:r w:rsidR="007704E5" w:rsidRPr="007C740F">
        <w:t xml:space="preserve">. Rather, as is common in </w:t>
      </w:r>
      <w:r w:rsidR="00396B26" w:rsidRPr="007C740F">
        <w:t xml:space="preserve">clinical </w:t>
      </w:r>
      <w:r w:rsidR="007704E5" w:rsidRPr="007C740F">
        <w:t>medicine, the distinction is pragmatic and reflects the limits of the method</w:t>
      </w:r>
      <w:r w:rsidR="00467559" w:rsidRPr="007C740F">
        <w:t xml:space="preserve"> used</w:t>
      </w:r>
      <w:r w:rsidR="007704E5" w:rsidRPr="007C740F">
        <w:t>.</w:t>
      </w:r>
      <w:r w:rsidR="00897288" w:rsidRPr="007C740F">
        <w:rPr>
          <w:rStyle w:val="FootnoteReference"/>
        </w:rPr>
        <w:footnoteReference w:id="6"/>
      </w:r>
      <w:r w:rsidR="00897288" w:rsidRPr="007C740F">
        <w:t xml:space="preserve"> </w:t>
      </w:r>
    </w:p>
    <w:p w14:paraId="27E03864" w14:textId="77777777" w:rsidR="008D27C2" w:rsidRPr="007C740F" w:rsidRDefault="00976747" w:rsidP="008D27C2">
      <w:pPr>
        <w:pStyle w:val="Heading2"/>
      </w:pPr>
      <w:bookmarkStart w:id="6" w:name="_Toc473076864"/>
      <w:bookmarkStart w:id="7" w:name="_Toc193659660"/>
      <w:r w:rsidRPr="007C740F">
        <w:t>Historical b</w:t>
      </w:r>
      <w:r w:rsidR="008D27C2" w:rsidRPr="007C740F">
        <w:t>ackground</w:t>
      </w:r>
      <w:bookmarkEnd w:id="6"/>
      <w:bookmarkEnd w:id="7"/>
    </w:p>
    <w:p w14:paraId="5FE02D31" w14:textId="35CF6942" w:rsidR="004D25F3" w:rsidRPr="007C740F" w:rsidRDefault="009E03FB" w:rsidP="001F6D1C">
      <w:pPr>
        <w:pStyle w:val="BodyText1"/>
        <w:jc w:val="both"/>
      </w:pPr>
      <w:r w:rsidRPr="007C740F">
        <w:t xml:space="preserve">The need for epidemiological data on congenital disorders </w:t>
      </w:r>
      <w:r w:rsidR="00976747" w:rsidRPr="007C740F">
        <w:t>was</w:t>
      </w:r>
      <w:r w:rsidR="005C7788" w:rsidRPr="007C740F">
        <w:t xml:space="preserve"> </w:t>
      </w:r>
      <w:r w:rsidRPr="007C740F">
        <w:t xml:space="preserve">recognised </w:t>
      </w:r>
      <w:r w:rsidR="00753EF8" w:rsidRPr="007C740F">
        <w:t>in the aftermath of the second world war</w:t>
      </w:r>
      <w:r w:rsidR="00976747" w:rsidRPr="007C740F">
        <w:t>, when the United Nations Scientific Committee on the Effects of Atomic Radiation (UNSCEAR) was established</w:t>
      </w:r>
      <w:r w:rsidR="00C7139E" w:rsidRPr="007C740F">
        <w:t xml:space="preserve"> </w:t>
      </w:r>
      <w:r w:rsidR="00976747" w:rsidRPr="007C740F">
        <w:t>“to collect and evaluate information on the levels and effects of exposure to ionizing radiation” (</w:t>
      </w:r>
      <w:r w:rsidR="00C064CB" w:rsidRPr="007C740F">
        <w:t xml:space="preserve">See Annex 1 and </w:t>
      </w:r>
      <w:r w:rsidR="00976747" w:rsidRPr="007C740F">
        <w:t>UNSCEAR 1977, 1982, 1986)</w:t>
      </w:r>
      <w:r w:rsidR="00137C80" w:rsidRPr="007C740F">
        <w:t>. M</w:t>
      </w:r>
      <w:r w:rsidR="00C7139E" w:rsidRPr="007C740F">
        <w:t xml:space="preserve">eticulous controlled studies on the prevalence of congenital disorders were conducted in the populations of Hiroshima and Nagasaki </w:t>
      </w:r>
      <w:r w:rsidR="00137C80" w:rsidRPr="007C740F">
        <w:t xml:space="preserve">at this time </w:t>
      </w:r>
      <w:r w:rsidR="00C7139E" w:rsidRPr="007C740F">
        <w:t xml:space="preserve">on the assumption that increased mutation would manifest as an increased birth prevalence of affected children </w:t>
      </w:r>
      <w:r w:rsidR="00F3621E" w:rsidRPr="007C740F">
        <w:t>(</w:t>
      </w:r>
      <w:r w:rsidR="006F7FA3" w:rsidRPr="007C740F">
        <w:t>S</w:t>
      </w:r>
      <w:r w:rsidR="006E7FE8" w:rsidRPr="007C740F">
        <w:t>c</w:t>
      </w:r>
      <w:r w:rsidR="006F7FA3" w:rsidRPr="007C740F">
        <w:t>hull and Neel 1956</w:t>
      </w:r>
      <w:r w:rsidR="00C7139E" w:rsidRPr="007C740F">
        <w:t xml:space="preserve">, </w:t>
      </w:r>
      <w:r w:rsidR="00F3621E" w:rsidRPr="007C740F">
        <w:t>Schull et al.1981</w:t>
      </w:r>
      <w:r w:rsidR="00C7139E" w:rsidRPr="007C740F">
        <w:t>,</w:t>
      </w:r>
      <w:r w:rsidR="00F3621E" w:rsidRPr="007C740F">
        <w:t xml:space="preserve"> S</w:t>
      </w:r>
      <w:r w:rsidR="000F1B93" w:rsidRPr="007C740F">
        <w:t>c</w:t>
      </w:r>
      <w:r w:rsidR="00F3621E" w:rsidRPr="007C740F">
        <w:t>hull 2003)</w:t>
      </w:r>
      <w:r w:rsidR="006F7FA3" w:rsidRPr="007C740F">
        <w:rPr>
          <w:rStyle w:val="FootnoteReference"/>
        </w:rPr>
        <w:footnoteReference w:id="7"/>
      </w:r>
      <w:r w:rsidR="00F3621E" w:rsidRPr="007C740F">
        <w:t>.</w:t>
      </w:r>
      <w:r w:rsidR="006F7FA3" w:rsidRPr="007C740F">
        <w:t xml:space="preserve"> </w:t>
      </w:r>
    </w:p>
    <w:p w14:paraId="36329AFA" w14:textId="0803D2D0" w:rsidR="00DE0662" w:rsidRPr="007C740F" w:rsidRDefault="00137C80" w:rsidP="001F6D1C">
      <w:pPr>
        <w:pStyle w:val="BodyText1"/>
        <w:jc w:val="both"/>
      </w:pPr>
      <w:r w:rsidRPr="007C740F">
        <w:t xml:space="preserve">In the 1960s </w:t>
      </w:r>
      <w:r w:rsidR="00C7139E" w:rsidRPr="007C740F">
        <w:t xml:space="preserve">a combination of </w:t>
      </w:r>
      <w:r w:rsidR="00B062EE" w:rsidRPr="007C740F">
        <w:t>increasing technical diagnostic ability</w:t>
      </w:r>
      <w:r w:rsidR="006F7FA3" w:rsidRPr="007C740F">
        <w:t xml:space="preserve">, </w:t>
      </w:r>
      <w:r w:rsidR="00E32DD1" w:rsidRPr="007C740F">
        <w:t xml:space="preserve">the </w:t>
      </w:r>
      <w:r w:rsidR="006F7FA3" w:rsidRPr="007C740F">
        <w:t>observ</w:t>
      </w:r>
      <w:r w:rsidR="00E32DD1" w:rsidRPr="007C740F">
        <w:t>ed</w:t>
      </w:r>
      <w:r w:rsidR="006F7FA3" w:rsidRPr="007C740F">
        <w:t xml:space="preserve"> effects of rubella infection and the thalidomide </w:t>
      </w:r>
      <w:r w:rsidR="00B24AC9" w:rsidRPr="007C740F">
        <w:t xml:space="preserve">tragedy </w:t>
      </w:r>
      <w:r w:rsidR="006F7FA3" w:rsidRPr="007C740F">
        <w:t xml:space="preserve">led to increased </w:t>
      </w:r>
      <w:r w:rsidR="00B062EE" w:rsidRPr="007C740F">
        <w:t xml:space="preserve">recognition of the contribution of </w:t>
      </w:r>
      <w:r w:rsidR="008753E6" w:rsidRPr="007C740F">
        <w:t>congenital disorder</w:t>
      </w:r>
      <w:r w:rsidR="00B062EE" w:rsidRPr="007C740F">
        <w:t>s to early death and disability</w:t>
      </w:r>
      <w:r w:rsidR="006F7FA3" w:rsidRPr="007C740F">
        <w:t xml:space="preserve">, </w:t>
      </w:r>
      <w:r w:rsidR="00E32DD1" w:rsidRPr="007C740F">
        <w:t xml:space="preserve">the potential power of interventions, </w:t>
      </w:r>
      <w:r w:rsidR="006F7FA3" w:rsidRPr="007C740F">
        <w:t xml:space="preserve">and the </w:t>
      </w:r>
      <w:r w:rsidR="00753EF8" w:rsidRPr="007C740F">
        <w:t>need for ongoing surveillance</w:t>
      </w:r>
      <w:r w:rsidR="00DE0662" w:rsidRPr="007C740F">
        <w:t xml:space="preserve">. </w:t>
      </w:r>
      <w:r w:rsidR="006F7FA3" w:rsidRPr="007C740F">
        <w:t>Accordingly</w:t>
      </w:r>
      <w:r w:rsidR="00B24AC9" w:rsidRPr="007C740F">
        <w:t>,</w:t>
      </w:r>
      <w:r w:rsidR="006F7FA3" w:rsidRPr="007C740F">
        <w:t xml:space="preserve"> </w:t>
      </w:r>
      <w:r w:rsidR="00DE0662" w:rsidRPr="007C740F">
        <w:t>the World Health Organisation</w:t>
      </w:r>
      <w:r w:rsidR="00546A5D" w:rsidRPr="007C740F">
        <w:t xml:space="preserve"> (WHO)</w:t>
      </w:r>
      <w:r w:rsidR="00DE0662" w:rsidRPr="007C740F">
        <w:t xml:space="preserve"> </w:t>
      </w:r>
      <w:r w:rsidR="00DE0662" w:rsidRPr="007C740F">
        <w:lastRenderedPageBreak/>
        <w:t>encourage</w:t>
      </w:r>
      <w:r w:rsidR="00340B71" w:rsidRPr="007C740F">
        <w:t>d</w:t>
      </w:r>
      <w:r w:rsidR="00DE0662" w:rsidRPr="007C740F">
        <w:t xml:space="preserve"> epidemiological studies, the development of congenital anomaly registries</w:t>
      </w:r>
      <w:r w:rsidR="00AB1CC7" w:rsidRPr="007C740F">
        <w:t xml:space="preserve"> (structural congenital disorders)</w:t>
      </w:r>
      <w:r w:rsidR="00DE0662" w:rsidRPr="007C740F">
        <w:t xml:space="preserve">, and </w:t>
      </w:r>
      <w:r w:rsidR="006F7FA3" w:rsidRPr="007C740F">
        <w:t xml:space="preserve">the </w:t>
      </w:r>
      <w:r w:rsidR="00140408" w:rsidRPr="007C740F">
        <w:t xml:space="preserve">construction of </w:t>
      </w:r>
      <w:r w:rsidR="00DE0662" w:rsidRPr="007C740F">
        <w:t xml:space="preserve">databases </w:t>
      </w:r>
      <w:r w:rsidR="006F7FA3" w:rsidRPr="007C740F">
        <w:t>for common genetically-determined disorders</w:t>
      </w:r>
      <w:r w:rsidR="00DE0662" w:rsidRPr="007C740F">
        <w:t>.</w:t>
      </w:r>
    </w:p>
    <w:p w14:paraId="4E702B0E" w14:textId="77777777" w:rsidR="00E32DD1" w:rsidRPr="007C740F" w:rsidRDefault="00E32DD1" w:rsidP="00B17284">
      <w:pPr>
        <w:pStyle w:val="Heading3"/>
      </w:pPr>
      <w:bookmarkStart w:id="8" w:name="_Toc193659661"/>
      <w:r w:rsidRPr="007C740F">
        <w:t>Epidemiological studies</w:t>
      </w:r>
      <w:bookmarkEnd w:id="8"/>
    </w:p>
    <w:p w14:paraId="4030A7CE" w14:textId="79E5BE85" w:rsidR="00E32DD1" w:rsidRPr="007C740F" w:rsidRDefault="00E32DD1" w:rsidP="001F6D1C">
      <w:pPr>
        <w:pStyle w:val="BodyText1"/>
        <w:jc w:val="both"/>
      </w:pPr>
      <w:r w:rsidRPr="007C740F">
        <w:t xml:space="preserve">Table 1 </w:t>
      </w:r>
      <w:r w:rsidR="00850283" w:rsidRPr="007C740F">
        <w:t xml:space="preserve">summarises </w:t>
      </w:r>
      <w:r w:rsidRPr="007C740F">
        <w:t xml:space="preserve">classical studies that contributed to </w:t>
      </w:r>
      <w:r w:rsidR="006E1F78" w:rsidRPr="007C740F">
        <w:t xml:space="preserve">the </w:t>
      </w:r>
      <w:r w:rsidRPr="007C740F">
        <w:t xml:space="preserve">estimation of the baseline birth prevalence of </w:t>
      </w:r>
      <w:r w:rsidR="00897288" w:rsidRPr="007C740F">
        <w:t xml:space="preserve">endogenous </w:t>
      </w:r>
      <w:r w:rsidRPr="007C740F">
        <w:t>congenital disorders</w:t>
      </w:r>
      <w:r w:rsidR="00897288" w:rsidRPr="007C740F">
        <w:rPr>
          <w:rStyle w:val="FootnoteReference"/>
        </w:rPr>
        <w:footnoteReference w:id="8"/>
      </w:r>
      <w:r w:rsidRPr="007C740F">
        <w:t xml:space="preserve"> in the </w:t>
      </w:r>
      <w:r w:rsidR="00871319" w:rsidRPr="007C740F">
        <w:t>MGDb</w:t>
      </w:r>
      <w:r w:rsidRPr="007C740F">
        <w:t xml:space="preserve">. These studies have the advantage that they predate the introduction of interventions that reduce affected </w:t>
      </w:r>
      <w:r w:rsidR="00137C80" w:rsidRPr="007C740F">
        <w:t>live</w:t>
      </w:r>
      <w:r w:rsidRPr="007C740F">
        <w:t>birth prevalence (e.g. periconceptional vitamin supplementation, termination of pregnancy for fetal impairment) or increase</w:t>
      </w:r>
      <w:r w:rsidR="006E1F78" w:rsidRPr="007C740F">
        <w:t>d</w:t>
      </w:r>
      <w:r w:rsidRPr="007C740F">
        <w:t xml:space="preserve"> detection rates (e.g. routine fetal anomaly scanning, sophisticated neonatal screening). Although the range of diagnoses included differed between studies</w:t>
      </w:r>
      <w:r w:rsidR="0020182E" w:rsidRPr="007C740F">
        <w:t>,</w:t>
      </w:r>
      <w:r w:rsidRPr="007C740F">
        <w:t xml:space="preserve"> and most studies were conducted in populations of European origin, the rates observed were broadly consistent and were generally considered to apply world-wide (Baird et al. 1988). </w:t>
      </w:r>
      <w:r w:rsidR="00CF5706" w:rsidRPr="007C740F">
        <w:t xml:space="preserve">These early estimates are </w:t>
      </w:r>
      <w:r w:rsidR="002A52A5" w:rsidRPr="007C740F">
        <w:t>especially</w:t>
      </w:r>
      <w:r w:rsidR="00B13785" w:rsidRPr="007C740F">
        <w:t xml:space="preserve"> </w:t>
      </w:r>
      <w:r w:rsidR="00CF5706" w:rsidRPr="007C740F">
        <w:t xml:space="preserve">valuable because </w:t>
      </w:r>
      <w:r w:rsidR="00E8331A" w:rsidRPr="007C740F">
        <w:t>of their timing</w:t>
      </w:r>
      <w:r w:rsidR="00CF5706" w:rsidRPr="007C740F">
        <w:t xml:space="preserve">. </w:t>
      </w:r>
      <w:r w:rsidR="00E8331A" w:rsidRPr="007C740F">
        <w:t xml:space="preserve">The introduction of interventions such as </w:t>
      </w:r>
      <w:r w:rsidR="00CF5706" w:rsidRPr="007C740F">
        <w:t xml:space="preserve">folic acid food fortification, genetic carrier screening </w:t>
      </w:r>
      <w:r w:rsidR="00B13785" w:rsidRPr="007C740F">
        <w:t xml:space="preserve">and </w:t>
      </w:r>
      <w:r w:rsidR="00CF5706" w:rsidRPr="007C740F">
        <w:t>genetic counselling</w:t>
      </w:r>
      <w:r w:rsidR="00E8331A" w:rsidRPr="007C740F">
        <w:t>,</w:t>
      </w:r>
      <w:r w:rsidR="00CF5706" w:rsidRPr="007C740F">
        <w:t xml:space="preserve"> and prenatal diagnosis with the option of termination of pregnancy have </w:t>
      </w:r>
      <w:r w:rsidR="00E8331A" w:rsidRPr="007C740F">
        <w:t xml:space="preserve">subsequently </w:t>
      </w:r>
      <w:r w:rsidR="00CF5706" w:rsidRPr="007C740F">
        <w:t xml:space="preserve">complicated </w:t>
      </w:r>
      <w:r w:rsidR="00E8331A" w:rsidRPr="007C740F">
        <w:t xml:space="preserve">the </w:t>
      </w:r>
      <w:r w:rsidR="00B13785" w:rsidRPr="007C740F">
        <w:t xml:space="preserve">recording </w:t>
      </w:r>
      <w:r w:rsidR="00CF5706" w:rsidRPr="007C740F">
        <w:t xml:space="preserve">of baseline birth prevalence. </w:t>
      </w:r>
    </w:p>
    <w:p w14:paraId="25A25D02" w14:textId="77777777" w:rsidR="00E32DD1" w:rsidRPr="007C740F" w:rsidRDefault="00E32DD1" w:rsidP="00E32DD1">
      <w:pPr>
        <w:pStyle w:val="Tableheading"/>
        <w:spacing w:before="0" w:after="0"/>
        <w:rPr>
          <w:vertAlign w:val="superscript"/>
        </w:rPr>
      </w:pPr>
      <w:r w:rsidRPr="007C740F">
        <w:t>Table 1. Classical studies of the birth prevalence of congenital disorders</w:t>
      </w:r>
      <w:r w:rsidRPr="007C740F">
        <w:rPr>
          <w:vertAlign w:val="superscript"/>
        </w:rPr>
        <w:t>1</w:t>
      </w:r>
    </w:p>
    <w:tbl>
      <w:tblPr>
        <w:tblW w:w="6804" w:type="dxa"/>
        <w:jc w:val="center"/>
        <w:tblLook w:val="04A0" w:firstRow="1" w:lastRow="0" w:firstColumn="1" w:lastColumn="0" w:noHBand="0" w:noVBand="1"/>
      </w:tblPr>
      <w:tblGrid>
        <w:gridCol w:w="2835"/>
        <w:gridCol w:w="1276"/>
        <w:gridCol w:w="1418"/>
        <w:gridCol w:w="1275"/>
      </w:tblGrid>
      <w:tr w:rsidR="00E32DD1" w:rsidRPr="007C740F" w14:paraId="76EE057D" w14:textId="77777777" w:rsidTr="007D4F68">
        <w:trPr>
          <w:trHeight w:val="284"/>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E107"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Source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B870"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Chromosomal disorders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73F0"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Congenital malformations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76A18"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Rare single gene disorders</w:t>
            </w:r>
          </w:p>
        </w:tc>
      </w:tr>
      <w:tr w:rsidR="00E32DD1" w:rsidRPr="007C740F" w14:paraId="29B97FE3" w14:textId="77777777" w:rsidTr="007D4F68">
        <w:trPr>
          <w:trHeight w:val="284"/>
          <w:jc w:val="center"/>
        </w:trPr>
        <w:tc>
          <w:tcPr>
            <w:tcW w:w="2835" w:type="dxa"/>
            <w:tcBorders>
              <w:left w:val="single" w:sz="4" w:space="0" w:color="auto"/>
              <w:bottom w:val="nil"/>
              <w:right w:val="single" w:sz="4" w:space="0" w:color="auto"/>
            </w:tcBorders>
            <w:shd w:val="clear" w:color="auto" w:fill="auto"/>
            <w:noWrap/>
            <w:vAlign w:val="center"/>
          </w:tcPr>
          <w:p w14:paraId="24558665"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Neel 1958</w:t>
            </w:r>
          </w:p>
        </w:tc>
        <w:tc>
          <w:tcPr>
            <w:tcW w:w="1276" w:type="dxa"/>
            <w:tcBorders>
              <w:left w:val="single" w:sz="4" w:space="0" w:color="auto"/>
              <w:bottom w:val="nil"/>
              <w:right w:val="single" w:sz="4" w:space="0" w:color="auto"/>
            </w:tcBorders>
            <w:shd w:val="clear" w:color="auto" w:fill="auto"/>
            <w:noWrap/>
            <w:vAlign w:val="center"/>
          </w:tcPr>
          <w:p w14:paraId="00119F72" w14:textId="77777777" w:rsidR="00E32DD1" w:rsidRPr="007C740F" w:rsidRDefault="00E32DD1" w:rsidP="00CE64D7">
            <w:pPr>
              <w:keepNext/>
              <w:spacing w:after="0"/>
              <w:jc w:val="center"/>
              <w:rPr>
                <w:rFonts w:ascii="Calibri" w:hAnsi="Calibri" w:cs="Arial"/>
                <w:color w:val="000000"/>
                <w:sz w:val="18"/>
                <w:szCs w:val="18"/>
              </w:rPr>
            </w:pPr>
          </w:p>
        </w:tc>
        <w:tc>
          <w:tcPr>
            <w:tcW w:w="1418" w:type="dxa"/>
            <w:tcBorders>
              <w:left w:val="single" w:sz="4" w:space="0" w:color="auto"/>
              <w:bottom w:val="nil"/>
              <w:right w:val="single" w:sz="4" w:space="0" w:color="auto"/>
            </w:tcBorders>
            <w:shd w:val="clear" w:color="auto" w:fill="auto"/>
            <w:noWrap/>
            <w:vAlign w:val="center"/>
          </w:tcPr>
          <w:p w14:paraId="3F1E8838"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w:t>
            </w:r>
          </w:p>
        </w:tc>
        <w:tc>
          <w:tcPr>
            <w:tcW w:w="1275" w:type="dxa"/>
            <w:tcBorders>
              <w:left w:val="single" w:sz="4" w:space="0" w:color="auto"/>
              <w:bottom w:val="nil"/>
              <w:right w:val="single" w:sz="4" w:space="0" w:color="auto"/>
            </w:tcBorders>
            <w:shd w:val="clear" w:color="auto" w:fill="auto"/>
            <w:noWrap/>
            <w:vAlign w:val="center"/>
          </w:tcPr>
          <w:p w14:paraId="115CA1D7" w14:textId="77777777" w:rsidR="00E32DD1" w:rsidRPr="007C740F" w:rsidRDefault="00E32DD1" w:rsidP="00CE64D7">
            <w:pPr>
              <w:keepNext/>
              <w:spacing w:after="0"/>
              <w:jc w:val="center"/>
              <w:rPr>
                <w:rFonts w:ascii="Calibri" w:hAnsi="Calibri" w:cs="Arial"/>
                <w:color w:val="000000"/>
                <w:sz w:val="18"/>
                <w:szCs w:val="18"/>
              </w:rPr>
            </w:pPr>
          </w:p>
        </w:tc>
      </w:tr>
      <w:tr w:rsidR="00E32DD1" w:rsidRPr="007C740F" w14:paraId="05507ADA" w14:textId="77777777" w:rsidTr="007D4F68">
        <w:trPr>
          <w:trHeight w:val="284"/>
          <w:jc w:val="center"/>
        </w:trPr>
        <w:tc>
          <w:tcPr>
            <w:tcW w:w="2835" w:type="dxa"/>
            <w:tcBorders>
              <w:left w:val="single" w:sz="4" w:space="0" w:color="auto"/>
              <w:bottom w:val="nil"/>
              <w:right w:val="single" w:sz="4" w:space="0" w:color="auto"/>
            </w:tcBorders>
            <w:shd w:val="clear" w:color="auto" w:fill="auto"/>
            <w:noWrap/>
            <w:vAlign w:val="center"/>
          </w:tcPr>
          <w:p w14:paraId="4C6BE594"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Stevenson 1959</w:t>
            </w:r>
          </w:p>
        </w:tc>
        <w:tc>
          <w:tcPr>
            <w:tcW w:w="1276" w:type="dxa"/>
            <w:tcBorders>
              <w:left w:val="single" w:sz="4" w:space="0" w:color="auto"/>
              <w:bottom w:val="nil"/>
              <w:right w:val="single" w:sz="4" w:space="0" w:color="auto"/>
            </w:tcBorders>
            <w:shd w:val="clear" w:color="auto" w:fill="auto"/>
            <w:noWrap/>
            <w:vAlign w:val="center"/>
          </w:tcPr>
          <w:p w14:paraId="62534EDB"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left w:val="single" w:sz="4" w:space="0" w:color="auto"/>
              <w:bottom w:val="nil"/>
              <w:right w:val="single" w:sz="4" w:space="0" w:color="auto"/>
            </w:tcBorders>
            <w:shd w:val="clear" w:color="auto" w:fill="auto"/>
            <w:noWrap/>
            <w:vAlign w:val="center"/>
          </w:tcPr>
          <w:p w14:paraId="31051D92"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left w:val="single" w:sz="4" w:space="0" w:color="auto"/>
              <w:bottom w:val="nil"/>
              <w:right w:val="single" w:sz="4" w:space="0" w:color="auto"/>
            </w:tcBorders>
            <w:shd w:val="clear" w:color="auto" w:fill="auto"/>
            <w:noWrap/>
            <w:vAlign w:val="center"/>
          </w:tcPr>
          <w:p w14:paraId="2C4C471A"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r>
      <w:tr w:rsidR="00E32DD1" w:rsidRPr="007C740F" w14:paraId="211429C1"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7B85BED4"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WHO 1966 (Stevenson et al.)</w:t>
            </w:r>
          </w:p>
        </w:tc>
        <w:tc>
          <w:tcPr>
            <w:tcW w:w="1276" w:type="dxa"/>
            <w:tcBorders>
              <w:top w:val="nil"/>
              <w:left w:val="single" w:sz="4" w:space="0" w:color="auto"/>
              <w:bottom w:val="nil"/>
              <w:right w:val="single" w:sz="4" w:space="0" w:color="auto"/>
            </w:tcBorders>
            <w:shd w:val="clear" w:color="auto" w:fill="auto"/>
            <w:noWrap/>
            <w:vAlign w:val="center"/>
          </w:tcPr>
          <w:p w14:paraId="54F6CFB6" w14:textId="77777777" w:rsidR="00E32DD1" w:rsidRPr="007C740F" w:rsidRDefault="00E32DD1" w:rsidP="00CE64D7">
            <w:pPr>
              <w:keepNext/>
              <w:spacing w:after="0"/>
              <w:rPr>
                <w:rFonts w:ascii="Calibri" w:hAnsi="Calibri" w:cs="Arial"/>
                <w:color w:val="000000"/>
                <w:sz w:val="18"/>
                <w:szCs w:val="18"/>
              </w:rPr>
            </w:pPr>
          </w:p>
        </w:tc>
        <w:tc>
          <w:tcPr>
            <w:tcW w:w="1418" w:type="dxa"/>
            <w:tcBorders>
              <w:top w:val="nil"/>
              <w:left w:val="single" w:sz="4" w:space="0" w:color="auto"/>
              <w:bottom w:val="nil"/>
              <w:right w:val="single" w:sz="4" w:space="0" w:color="auto"/>
            </w:tcBorders>
            <w:shd w:val="clear" w:color="auto" w:fill="auto"/>
            <w:noWrap/>
            <w:vAlign w:val="center"/>
          </w:tcPr>
          <w:p w14:paraId="1B8B6D55"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nil"/>
              <w:right w:val="single" w:sz="4" w:space="0" w:color="auto"/>
            </w:tcBorders>
            <w:shd w:val="clear" w:color="auto" w:fill="auto"/>
            <w:noWrap/>
            <w:vAlign w:val="center"/>
          </w:tcPr>
          <w:p w14:paraId="4EEE2527" w14:textId="77777777" w:rsidR="00E32DD1" w:rsidRPr="007C740F" w:rsidRDefault="00E32DD1" w:rsidP="00CE64D7">
            <w:pPr>
              <w:keepNext/>
              <w:spacing w:after="0"/>
              <w:jc w:val="center"/>
              <w:rPr>
                <w:rFonts w:ascii="Calibri" w:hAnsi="Calibri" w:cs="Arial"/>
                <w:color w:val="000000"/>
                <w:sz w:val="18"/>
                <w:szCs w:val="18"/>
              </w:rPr>
            </w:pPr>
          </w:p>
        </w:tc>
      </w:tr>
      <w:tr w:rsidR="00E32DD1" w:rsidRPr="007C740F" w14:paraId="08055B71"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1D9289C3"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Trimble and Doughty 1974</w:t>
            </w:r>
          </w:p>
        </w:tc>
        <w:tc>
          <w:tcPr>
            <w:tcW w:w="1276" w:type="dxa"/>
            <w:tcBorders>
              <w:top w:val="nil"/>
              <w:left w:val="single" w:sz="4" w:space="0" w:color="auto"/>
              <w:bottom w:val="nil"/>
              <w:right w:val="single" w:sz="4" w:space="0" w:color="auto"/>
            </w:tcBorders>
            <w:shd w:val="clear" w:color="auto" w:fill="auto"/>
            <w:noWrap/>
            <w:vAlign w:val="center"/>
          </w:tcPr>
          <w:p w14:paraId="19BBBD9B"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top w:val="nil"/>
              <w:left w:val="single" w:sz="4" w:space="0" w:color="auto"/>
              <w:bottom w:val="nil"/>
              <w:right w:val="single" w:sz="4" w:space="0" w:color="auto"/>
            </w:tcBorders>
            <w:shd w:val="clear" w:color="auto" w:fill="auto"/>
            <w:noWrap/>
            <w:vAlign w:val="center"/>
          </w:tcPr>
          <w:p w14:paraId="5265ACE3"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nil"/>
              <w:right w:val="single" w:sz="4" w:space="0" w:color="auto"/>
            </w:tcBorders>
            <w:shd w:val="clear" w:color="auto" w:fill="auto"/>
            <w:noWrap/>
            <w:vAlign w:val="center"/>
          </w:tcPr>
          <w:p w14:paraId="21A6688B"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r>
      <w:tr w:rsidR="00E32DD1" w:rsidRPr="007C740F" w14:paraId="0A60B715"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5091A157"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Myrianthopoulos and Chung 1974</w:t>
            </w:r>
          </w:p>
        </w:tc>
        <w:tc>
          <w:tcPr>
            <w:tcW w:w="1276" w:type="dxa"/>
            <w:tcBorders>
              <w:top w:val="nil"/>
              <w:left w:val="single" w:sz="4" w:space="0" w:color="auto"/>
              <w:bottom w:val="nil"/>
              <w:right w:val="single" w:sz="4" w:space="0" w:color="auto"/>
            </w:tcBorders>
            <w:shd w:val="clear" w:color="auto" w:fill="auto"/>
            <w:noWrap/>
            <w:vAlign w:val="center"/>
          </w:tcPr>
          <w:p w14:paraId="7DE775A5" w14:textId="77777777" w:rsidR="00E32DD1" w:rsidRPr="007C740F" w:rsidRDefault="00E32DD1" w:rsidP="00CE64D7">
            <w:pPr>
              <w:keepNext/>
              <w:spacing w:after="0"/>
              <w:rPr>
                <w:rFonts w:ascii="Calibri" w:hAnsi="Calibri" w:cs="Arial"/>
                <w:color w:val="000000"/>
                <w:sz w:val="18"/>
                <w:szCs w:val="18"/>
              </w:rPr>
            </w:pPr>
          </w:p>
        </w:tc>
        <w:tc>
          <w:tcPr>
            <w:tcW w:w="1418" w:type="dxa"/>
            <w:tcBorders>
              <w:top w:val="nil"/>
              <w:left w:val="single" w:sz="4" w:space="0" w:color="auto"/>
              <w:bottom w:val="nil"/>
              <w:right w:val="single" w:sz="4" w:space="0" w:color="auto"/>
            </w:tcBorders>
            <w:shd w:val="clear" w:color="auto" w:fill="auto"/>
            <w:noWrap/>
            <w:vAlign w:val="center"/>
          </w:tcPr>
          <w:p w14:paraId="3399427D"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nil"/>
              <w:right w:val="single" w:sz="4" w:space="0" w:color="auto"/>
            </w:tcBorders>
            <w:shd w:val="clear" w:color="auto" w:fill="auto"/>
            <w:noWrap/>
            <w:vAlign w:val="center"/>
          </w:tcPr>
          <w:p w14:paraId="19987F84" w14:textId="77777777" w:rsidR="00E32DD1" w:rsidRPr="007C740F" w:rsidRDefault="00E32DD1" w:rsidP="00CE64D7">
            <w:pPr>
              <w:keepNext/>
              <w:spacing w:after="0"/>
              <w:jc w:val="center"/>
              <w:rPr>
                <w:rFonts w:ascii="Calibri" w:hAnsi="Calibri" w:cs="Arial"/>
                <w:color w:val="000000"/>
                <w:sz w:val="18"/>
                <w:szCs w:val="18"/>
              </w:rPr>
            </w:pPr>
          </w:p>
        </w:tc>
      </w:tr>
      <w:tr w:rsidR="00E32DD1" w:rsidRPr="007C740F" w14:paraId="15576510"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3B5C6916"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Ash, Vennart &amp; Carter 1977</w:t>
            </w:r>
          </w:p>
        </w:tc>
        <w:tc>
          <w:tcPr>
            <w:tcW w:w="1276" w:type="dxa"/>
            <w:tcBorders>
              <w:top w:val="nil"/>
              <w:left w:val="single" w:sz="4" w:space="0" w:color="auto"/>
              <w:bottom w:val="nil"/>
              <w:right w:val="single" w:sz="4" w:space="0" w:color="auto"/>
            </w:tcBorders>
            <w:shd w:val="clear" w:color="auto" w:fill="auto"/>
            <w:noWrap/>
            <w:vAlign w:val="center"/>
          </w:tcPr>
          <w:p w14:paraId="63383D44"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top w:val="nil"/>
              <w:left w:val="single" w:sz="4" w:space="0" w:color="auto"/>
              <w:bottom w:val="nil"/>
              <w:right w:val="single" w:sz="4" w:space="0" w:color="auto"/>
            </w:tcBorders>
            <w:shd w:val="clear" w:color="auto" w:fill="auto"/>
            <w:noWrap/>
            <w:vAlign w:val="center"/>
          </w:tcPr>
          <w:p w14:paraId="7F935675"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nil"/>
              <w:right w:val="single" w:sz="4" w:space="0" w:color="auto"/>
            </w:tcBorders>
            <w:shd w:val="clear" w:color="auto" w:fill="auto"/>
            <w:noWrap/>
            <w:vAlign w:val="center"/>
          </w:tcPr>
          <w:p w14:paraId="5268B0E7"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r>
      <w:tr w:rsidR="00E32DD1" w:rsidRPr="007C740F" w14:paraId="68F412F9"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54CCD3CE"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Hook and Hamerton 1977</w:t>
            </w:r>
          </w:p>
        </w:tc>
        <w:tc>
          <w:tcPr>
            <w:tcW w:w="1276" w:type="dxa"/>
            <w:tcBorders>
              <w:top w:val="nil"/>
              <w:left w:val="single" w:sz="4" w:space="0" w:color="auto"/>
              <w:bottom w:val="nil"/>
              <w:right w:val="single" w:sz="4" w:space="0" w:color="auto"/>
            </w:tcBorders>
            <w:shd w:val="clear" w:color="auto" w:fill="auto"/>
            <w:noWrap/>
            <w:vAlign w:val="center"/>
          </w:tcPr>
          <w:p w14:paraId="50E65A21"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top w:val="nil"/>
              <w:left w:val="single" w:sz="4" w:space="0" w:color="auto"/>
              <w:bottom w:val="nil"/>
              <w:right w:val="single" w:sz="4" w:space="0" w:color="auto"/>
            </w:tcBorders>
            <w:shd w:val="clear" w:color="auto" w:fill="auto"/>
            <w:noWrap/>
            <w:vAlign w:val="center"/>
          </w:tcPr>
          <w:p w14:paraId="301C8B17" w14:textId="77777777" w:rsidR="00E32DD1" w:rsidRPr="007C740F" w:rsidRDefault="00E32DD1" w:rsidP="00CE64D7">
            <w:pPr>
              <w:keepNext/>
              <w:spacing w:after="0"/>
              <w:jc w:val="center"/>
              <w:rPr>
                <w:rFonts w:ascii="Calibri" w:hAnsi="Calibri" w:cs="Arial"/>
                <w:color w:val="000000"/>
                <w:sz w:val="18"/>
                <w:szCs w:val="18"/>
              </w:rPr>
            </w:pPr>
          </w:p>
        </w:tc>
        <w:tc>
          <w:tcPr>
            <w:tcW w:w="1275" w:type="dxa"/>
            <w:tcBorders>
              <w:top w:val="nil"/>
              <w:left w:val="single" w:sz="4" w:space="0" w:color="auto"/>
              <w:bottom w:val="nil"/>
              <w:right w:val="single" w:sz="4" w:space="0" w:color="auto"/>
            </w:tcBorders>
            <w:shd w:val="clear" w:color="auto" w:fill="auto"/>
            <w:noWrap/>
            <w:vAlign w:val="center"/>
          </w:tcPr>
          <w:p w14:paraId="5210C8CC" w14:textId="77777777" w:rsidR="00E32DD1" w:rsidRPr="007C740F" w:rsidRDefault="00E32DD1" w:rsidP="00CE64D7">
            <w:pPr>
              <w:keepNext/>
              <w:spacing w:after="0"/>
              <w:jc w:val="center"/>
              <w:rPr>
                <w:rFonts w:ascii="Calibri" w:hAnsi="Calibri" w:cs="Arial"/>
                <w:color w:val="000000"/>
                <w:sz w:val="18"/>
                <w:szCs w:val="18"/>
              </w:rPr>
            </w:pPr>
          </w:p>
        </w:tc>
      </w:tr>
      <w:tr w:rsidR="00E32DD1" w:rsidRPr="007C740F" w14:paraId="5AF45B0E"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7688C4A1"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Carter 1977</w:t>
            </w:r>
          </w:p>
        </w:tc>
        <w:tc>
          <w:tcPr>
            <w:tcW w:w="1276" w:type="dxa"/>
            <w:tcBorders>
              <w:top w:val="nil"/>
              <w:left w:val="single" w:sz="4" w:space="0" w:color="auto"/>
              <w:bottom w:val="nil"/>
              <w:right w:val="single" w:sz="4" w:space="0" w:color="auto"/>
            </w:tcBorders>
            <w:shd w:val="clear" w:color="auto" w:fill="auto"/>
            <w:noWrap/>
            <w:vAlign w:val="center"/>
          </w:tcPr>
          <w:p w14:paraId="77EC3D16" w14:textId="77777777" w:rsidR="00E32DD1" w:rsidRPr="007C740F" w:rsidRDefault="00E32DD1" w:rsidP="00CE64D7">
            <w:pPr>
              <w:keepNext/>
              <w:spacing w:after="0"/>
              <w:rPr>
                <w:rFonts w:ascii="Calibri" w:hAnsi="Calibri" w:cs="Arial"/>
                <w:color w:val="000000"/>
                <w:sz w:val="18"/>
                <w:szCs w:val="18"/>
              </w:rPr>
            </w:pPr>
          </w:p>
        </w:tc>
        <w:tc>
          <w:tcPr>
            <w:tcW w:w="1418" w:type="dxa"/>
            <w:tcBorders>
              <w:top w:val="nil"/>
              <w:left w:val="single" w:sz="4" w:space="0" w:color="auto"/>
              <w:bottom w:val="nil"/>
              <w:right w:val="single" w:sz="4" w:space="0" w:color="auto"/>
            </w:tcBorders>
            <w:shd w:val="clear" w:color="auto" w:fill="auto"/>
            <w:noWrap/>
            <w:vAlign w:val="center"/>
          </w:tcPr>
          <w:p w14:paraId="3CF064B6" w14:textId="77777777" w:rsidR="00E32DD1" w:rsidRPr="007C740F" w:rsidRDefault="00E32DD1" w:rsidP="00CE64D7">
            <w:pPr>
              <w:keepNext/>
              <w:spacing w:after="0"/>
              <w:jc w:val="center"/>
              <w:rPr>
                <w:rFonts w:ascii="Calibri" w:hAnsi="Calibri"/>
                <w:sz w:val="18"/>
                <w:szCs w:val="18"/>
              </w:rPr>
            </w:pPr>
          </w:p>
        </w:tc>
        <w:tc>
          <w:tcPr>
            <w:tcW w:w="1275" w:type="dxa"/>
            <w:tcBorders>
              <w:top w:val="nil"/>
              <w:left w:val="single" w:sz="4" w:space="0" w:color="auto"/>
              <w:bottom w:val="nil"/>
              <w:right w:val="single" w:sz="4" w:space="0" w:color="auto"/>
            </w:tcBorders>
            <w:shd w:val="clear" w:color="auto" w:fill="auto"/>
            <w:noWrap/>
            <w:vAlign w:val="center"/>
          </w:tcPr>
          <w:p w14:paraId="6D546D5C"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r>
      <w:tr w:rsidR="00E32DD1" w:rsidRPr="007C740F" w14:paraId="0C3EE01A" w14:textId="77777777" w:rsidTr="007D4F68">
        <w:trPr>
          <w:trHeight w:val="284"/>
          <w:jc w:val="center"/>
        </w:trPr>
        <w:tc>
          <w:tcPr>
            <w:tcW w:w="2835" w:type="dxa"/>
            <w:tcBorders>
              <w:top w:val="nil"/>
              <w:left w:val="single" w:sz="4" w:space="0" w:color="auto"/>
              <w:bottom w:val="nil"/>
              <w:right w:val="single" w:sz="4" w:space="0" w:color="auto"/>
            </w:tcBorders>
            <w:shd w:val="clear" w:color="auto" w:fill="auto"/>
            <w:noWrap/>
            <w:vAlign w:val="center"/>
          </w:tcPr>
          <w:p w14:paraId="6B561302" w14:textId="77777777" w:rsidR="00E32DD1" w:rsidRPr="007C740F" w:rsidRDefault="00E32DD1" w:rsidP="00CE64D7">
            <w:pPr>
              <w:keepNext/>
              <w:spacing w:after="0"/>
              <w:rPr>
                <w:rFonts w:ascii="Calibri" w:hAnsi="Calibri" w:cs="Arial"/>
                <w:color w:val="000000"/>
                <w:sz w:val="18"/>
                <w:szCs w:val="18"/>
              </w:rPr>
            </w:pPr>
            <w:r w:rsidRPr="007C740F">
              <w:rPr>
                <w:rFonts w:ascii="Calibri" w:hAnsi="Calibri" w:cs="Arial"/>
                <w:color w:val="000000"/>
                <w:sz w:val="18"/>
                <w:szCs w:val="18"/>
              </w:rPr>
              <w:t>Czeizel &amp; Sankaranarayanan 1984</w:t>
            </w:r>
          </w:p>
        </w:tc>
        <w:tc>
          <w:tcPr>
            <w:tcW w:w="1276" w:type="dxa"/>
            <w:tcBorders>
              <w:top w:val="nil"/>
              <w:left w:val="single" w:sz="4" w:space="0" w:color="auto"/>
              <w:bottom w:val="nil"/>
              <w:right w:val="single" w:sz="4" w:space="0" w:color="auto"/>
            </w:tcBorders>
            <w:shd w:val="clear" w:color="auto" w:fill="auto"/>
            <w:noWrap/>
            <w:vAlign w:val="center"/>
          </w:tcPr>
          <w:p w14:paraId="60241548"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top w:val="nil"/>
              <w:left w:val="single" w:sz="4" w:space="0" w:color="auto"/>
              <w:bottom w:val="nil"/>
              <w:right w:val="single" w:sz="4" w:space="0" w:color="auto"/>
            </w:tcBorders>
            <w:shd w:val="clear" w:color="auto" w:fill="auto"/>
            <w:noWrap/>
            <w:vAlign w:val="center"/>
          </w:tcPr>
          <w:p w14:paraId="6351582D" w14:textId="77777777" w:rsidR="00E32DD1" w:rsidRPr="007C740F" w:rsidRDefault="00E32DD1" w:rsidP="00CE64D7">
            <w:pPr>
              <w:keepNext/>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nil"/>
              <w:right w:val="single" w:sz="4" w:space="0" w:color="auto"/>
            </w:tcBorders>
            <w:shd w:val="clear" w:color="auto" w:fill="auto"/>
            <w:noWrap/>
            <w:vAlign w:val="center"/>
          </w:tcPr>
          <w:p w14:paraId="42B09B34" w14:textId="77777777" w:rsidR="00E32DD1" w:rsidRPr="007C740F" w:rsidRDefault="00E32DD1" w:rsidP="00CE64D7">
            <w:pPr>
              <w:keepNext/>
              <w:spacing w:after="0"/>
              <w:jc w:val="center"/>
              <w:rPr>
                <w:rFonts w:ascii="Calibri" w:hAnsi="Calibri" w:cs="Arial"/>
                <w:color w:val="000000"/>
                <w:sz w:val="18"/>
                <w:szCs w:val="18"/>
              </w:rPr>
            </w:pPr>
          </w:p>
        </w:tc>
      </w:tr>
      <w:tr w:rsidR="00E32DD1" w:rsidRPr="007C740F" w14:paraId="7A1273A3" w14:textId="77777777" w:rsidTr="007D4F68">
        <w:trPr>
          <w:trHeight w:val="284"/>
          <w:jc w:val="center"/>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28007D" w14:textId="77777777" w:rsidR="00E32DD1" w:rsidRPr="007C740F" w:rsidRDefault="00E32DD1" w:rsidP="00CE64D7">
            <w:pPr>
              <w:spacing w:after="0"/>
              <w:rPr>
                <w:rFonts w:ascii="Calibri" w:hAnsi="Calibri" w:cs="Arial"/>
                <w:color w:val="000000"/>
                <w:sz w:val="18"/>
                <w:szCs w:val="18"/>
              </w:rPr>
            </w:pPr>
            <w:r w:rsidRPr="007C740F">
              <w:rPr>
                <w:rFonts w:ascii="Calibri" w:hAnsi="Calibri" w:cs="Arial"/>
                <w:color w:val="000000"/>
                <w:sz w:val="18"/>
                <w:szCs w:val="18"/>
              </w:rPr>
              <w:t>Baird et al. 1988</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0A79A59" w14:textId="77777777" w:rsidR="00E32DD1" w:rsidRPr="007C740F" w:rsidRDefault="00E32DD1" w:rsidP="00CE64D7">
            <w:pPr>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8D90122" w14:textId="77777777" w:rsidR="00E32DD1" w:rsidRPr="007C740F" w:rsidRDefault="00E32DD1" w:rsidP="00CE64D7">
            <w:pPr>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80D1CB1" w14:textId="77777777" w:rsidR="00E32DD1" w:rsidRPr="007C740F" w:rsidRDefault="00E32DD1" w:rsidP="00CE64D7">
            <w:pPr>
              <w:spacing w:after="0"/>
              <w:jc w:val="center"/>
              <w:rPr>
                <w:rFonts w:ascii="Calibri" w:hAnsi="Calibri" w:cs="Arial"/>
                <w:color w:val="000000"/>
                <w:sz w:val="18"/>
                <w:szCs w:val="18"/>
              </w:rPr>
            </w:pPr>
            <w:r w:rsidRPr="007C740F">
              <w:rPr>
                <w:rFonts w:ascii="Calibri" w:hAnsi="Calibri" w:cs="Arial"/>
                <w:color w:val="000000"/>
                <w:sz w:val="18"/>
                <w:szCs w:val="18"/>
              </w:rPr>
              <w:t xml:space="preserve">  + </w:t>
            </w:r>
          </w:p>
        </w:tc>
      </w:tr>
    </w:tbl>
    <w:p w14:paraId="30EB1D0A" w14:textId="77777777" w:rsidR="00E32DD1" w:rsidRPr="007C740F" w:rsidRDefault="00E32DD1" w:rsidP="00E32DD1">
      <w:pPr>
        <w:pStyle w:val="BodyText"/>
        <w:spacing w:before="120" w:after="240"/>
        <w:ind w:left="357"/>
        <w:rPr>
          <w:rFonts w:ascii="Times New Roman" w:hAnsi="Times New Roman" w:cs="Times New Roman"/>
          <w:sz w:val="20"/>
          <w:szCs w:val="20"/>
        </w:rPr>
      </w:pPr>
      <w:r w:rsidRPr="007C740F">
        <w:rPr>
          <w:rFonts w:ascii="Times New Roman" w:hAnsi="Times New Roman" w:cs="Times New Roman"/>
          <w:sz w:val="20"/>
          <w:szCs w:val="20"/>
        </w:rPr>
        <w:t>Note. All studies include only disorders that cause death or disability in the absence of intervention.</w:t>
      </w:r>
    </w:p>
    <w:p w14:paraId="46C5E6F8" w14:textId="7FDC9548" w:rsidR="00E32DD1" w:rsidRPr="007C740F" w:rsidRDefault="00E32DD1" w:rsidP="001F6D1C">
      <w:pPr>
        <w:pStyle w:val="BodyText1"/>
        <w:jc w:val="both"/>
      </w:pPr>
      <w:r w:rsidRPr="007C740F">
        <w:t xml:space="preserve">AC Stevenson was the first to attempt to measure “the load of hereditary defects in human populations” based on the number and age distribution of patients referred to his Northern Ireland clinic (Stevenson 1959). </w:t>
      </w:r>
      <w:r w:rsidR="00CF5706" w:rsidRPr="007C740F">
        <w:t xml:space="preserve">These </w:t>
      </w:r>
      <w:r w:rsidRPr="007C740F">
        <w:t>estimates of birth prevalence and early mortality</w:t>
      </w:r>
      <w:r w:rsidR="00B13785" w:rsidRPr="007C740F">
        <w:t>,</w:t>
      </w:r>
      <w:r w:rsidRPr="007C740F">
        <w:t xml:space="preserve"> </w:t>
      </w:r>
      <w:r w:rsidR="0020182E" w:rsidRPr="007C740F">
        <w:t xml:space="preserve">made </w:t>
      </w:r>
      <w:r w:rsidRPr="007C740F">
        <w:t>at a time when only</w:t>
      </w:r>
      <w:r w:rsidR="00CC219A" w:rsidRPr="007C740F">
        <w:t xml:space="preserve"> supportive care was available</w:t>
      </w:r>
      <w:r w:rsidR="00B13785" w:rsidRPr="007C740F">
        <w:t xml:space="preserve">, </w:t>
      </w:r>
      <w:r w:rsidR="00CC219A" w:rsidRPr="007C740F">
        <w:t xml:space="preserve">led </w:t>
      </w:r>
      <w:r w:rsidR="00E8331A" w:rsidRPr="007C740F">
        <w:t xml:space="preserve">the </w:t>
      </w:r>
      <w:r w:rsidRPr="007C740F">
        <w:t xml:space="preserve">WHO </w:t>
      </w:r>
      <w:r w:rsidR="00CC219A" w:rsidRPr="007C740F">
        <w:t xml:space="preserve">to </w:t>
      </w:r>
      <w:r w:rsidRPr="007C740F">
        <w:t xml:space="preserve">conduct a comparative study of the birth prevalence of selected congenital anomalies in 24 centres representing all WHO regions, </w:t>
      </w:r>
      <w:r w:rsidR="00992724" w:rsidRPr="007C740F">
        <w:t xml:space="preserve">to </w:t>
      </w:r>
      <w:r w:rsidRPr="007C740F">
        <w:t xml:space="preserve">review the global prevalence and management of haemoglobin disorders, and </w:t>
      </w:r>
      <w:r w:rsidR="00992724" w:rsidRPr="007C740F">
        <w:t xml:space="preserve">to </w:t>
      </w:r>
      <w:r w:rsidRPr="007C740F">
        <w:t>p</w:t>
      </w:r>
      <w:r w:rsidR="00CC219A" w:rsidRPr="007C740F">
        <w:t xml:space="preserve">ublish </w:t>
      </w:r>
      <w:r w:rsidRPr="007C740F">
        <w:t>three technical reports (WHO 19</w:t>
      </w:r>
      <w:r w:rsidR="00FD3409" w:rsidRPr="007C740F">
        <w:t>6</w:t>
      </w:r>
      <w:r w:rsidRPr="007C740F">
        <w:t>6a, 1966b, WHO 1972).</w:t>
      </w:r>
    </w:p>
    <w:p w14:paraId="313A85DF" w14:textId="77777777" w:rsidR="00E32DD1" w:rsidRPr="007C740F" w:rsidRDefault="00E32DD1" w:rsidP="006B1EE7">
      <w:pPr>
        <w:pStyle w:val="Heading3"/>
      </w:pPr>
      <w:bookmarkStart w:id="9" w:name="_Toc193659662"/>
      <w:r w:rsidRPr="007C740F">
        <w:t>Congenital anomaly registries</w:t>
      </w:r>
      <w:bookmarkEnd w:id="9"/>
    </w:p>
    <w:p w14:paraId="2F90CEEB" w14:textId="77777777" w:rsidR="00E8331A" w:rsidRPr="007C740F" w:rsidRDefault="00C8068D" w:rsidP="00C8068D">
      <w:pPr>
        <w:pStyle w:val="BodyText1"/>
      </w:pPr>
      <w:r w:rsidRPr="007C740F">
        <w:t>Congenital anomaly registries were progressively established from the 1950s onwards. Two of the earliest have made unique contributions to global epidemiology.</w:t>
      </w:r>
    </w:p>
    <w:p w14:paraId="1F14C724" w14:textId="1D5E348B" w:rsidR="00E8331A" w:rsidRPr="007C740F" w:rsidRDefault="00C8068D" w:rsidP="001F6D1C">
      <w:pPr>
        <w:pStyle w:val="BodyText1"/>
        <w:numPr>
          <w:ilvl w:val="0"/>
          <w:numId w:val="28"/>
        </w:numPr>
        <w:jc w:val="both"/>
      </w:pPr>
      <w:r w:rsidRPr="007C740F">
        <w:lastRenderedPageBreak/>
        <w:t xml:space="preserve">The British Columbia Health Surveillance Registry was initiated in 1952 </w:t>
      </w:r>
      <w:r w:rsidRPr="007C740F">
        <w:fldChar w:fldCharType="begin"/>
      </w:r>
      <w:r w:rsidRPr="007C740F">
        <w:instrText xml:space="preserve"> ADDIN EN.CITE &lt;EndNote&gt;&lt;Cite&gt;&lt;Author&gt;Baird&lt;/Author&gt;&lt;Year&gt;1987&lt;/Year&gt;&lt;RecNum&gt;284&lt;/RecNum&gt;&lt;DisplayText&gt;(Baird 1987)&lt;/DisplayText&gt;&lt;record&gt;&lt;rec-number&gt;284&lt;/rec-number&gt;&lt;foreign-keys&gt;&lt;key app="EN" db-id="ff92zd9psfd5v6e2dd6v90w6x2s029x92wpw" timestamp="1506435339"&gt;284&lt;/key&gt;&lt;/foreign-keys&gt;&lt;ref-type name="Journal Article"&gt;17&lt;/ref-type&gt;&lt;contributors&gt;&lt;authors&gt;&lt;author&gt;Baird, P. A.&lt;/author&gt;&lt;/authors&gt;&lt;/contributors&gt;&lt;titles&gt;&lt;title&gt;Measuring birth defects and handicapping disorders in the population: the British Columbia Health Surveillance Registry&lt;/title&gt;&lt;secondary-title&gt;CMAJ&lt;/secondary-title&gt;&lt;/titles&gt;&lt;periodical&gt;&lt;full-title&gt;CMAJ&lt;/full-title&gt;&lt;/periodical&gt;&lt;pages&gt;109-11&lt;/pages&gt;&lt;volume&gt;136&lt;/volume&gt;&lt;number&gt;2&lt;/number&gt;&lt;keywords&gt;&lt;keyword&gt;British Columbia&lt;/keyword&gt;&lt;keyword&gt;Confidentiality/legislation &amp;amp; jurisprudence&lt;/keyword&gt;&lt;keyword&gt;Congenital Abnormalities/*epidemiology/genetics&lt;/keyword&gt;&lt;keyword&gt;*Disabled Persons&lt;/keyword&gt;&lt;keyword&gt;*Health Surveys&lt;/keyword&gt;&lt;keyword&gt;Humans&lt;/keyword&gt;&lt;keyword&gt;Infant, Newborn&lt;/keyword&gt;&lt;keyword&gt;*Registries&lt;/keyword&gt;&lt;/keywords&gt;&lt;dates&gt;&lt;year&gt;1987&lt;/year&gt;&lt;pub-dates&gt;&lt;date&gt;Jan 15&lt;/date&gt;&lt;/pub-dates&gt;&lt;/dates&gt;&lt;isbn&gt;0820-3946 (Print)&amp;#xD;0820-3946 (Linking)&lt;/isbn&gt;&lt;accession-num&gt;2947673&lt;/accession-num&gt;&lt;urls&gt;&lt;related-urls&gt;&lt;url&gt;https://www.ncbi.nlm.nih.gov/pubmed/2947673&lt;/url&gt;&lt;/related-urls&gt;&lt;/urls&gt;&lt;custom2&gt;PMC1491988&lt;/custom2&gt;&lt;/record&gt;&lt;/Cite&gt;&lt;/EndNote&gt;</w:instrText>
      </w:r>
      <w:r w:rsidRPr="007C740F">
        <w:fldChar w:fldCharType="separate"/>
      </w:r>
      <w:r w:rsidRPr="007C740F">
        <w:rPr>
          <w:noProof/>
        </w:rPr>
        <w:t>(Baird 1987)</w:t>
      </w:r>
      <w:r w:rsidRPr="007C740F">
        <w:fldChar w:fldCharType="end"/>
      </w:r>
      <w:r w:rsidRPr="007C740F">
        <w:t xml:space="preserve">. Whilst most congenital anomaly registries include only disorders associated with structural change </w:t>
      </w:r>
      <w:r w:rsidR="00E8331A" w:rsidRPr="007C740F">
        <w:t>(</w:t>
      </w:r>
      <w:r w:rsidRPr="007C740F">
        <w:t>the “</w:t>
      </w:r>
      <w:r w:rsidRPr="007C740F">
        <w:rPr>
          <w:i/>
        </w:rPr>
        <w:t>congenital malformations, deformations and chromosomal disorders</w:t>
      </w:r>
      <w:r w:rsidRPr="007C740F">
        <w:t xml:space="preserve">” included in chapter XV11 </w:t>
      </w:r>
      <w:r w:rsidR="000023AD" w:rsidRPr="007C740F">
        <w:t xml:space="preserve">(the Q chapter) </w:t>
      </w:r>
      <w:r w:rsidRPr="007C740F">
        <w:t>of ICD10</w:t>
      </w:r>
      <w:r w:rsidR="00E8331A" w:rsidRPr="007C740F">
        <w:t>)</w:t>
      </w:r>
      <w:r w:rsidRPr="007C740F">
        <w:t xml:space="preserve"> th</w:t>
      </w:r>
      <w:r w:rsidR="00E8331A" w:rsidRPr="007C740F">
        <w:t xml:space="preserve">is </w:t>
      </w:r>
      <w:r w:rsidRPr="007C740F">
        <w:t xml:space="preserve">registry also included </w:t>
      </w:r>
      <w:r w:rsidR="00E8331A" w:rsidRPr="007C740F">
        <w:t xml:space="preserve">rare </w:t>
      </w:r>
      <w:r w:rsidRPr="007C740F">
        <w:t>single gene disorders</w:t>
      </w:r>
      <w:r w:rsidR="00152FCF" w:rsidRPr="007C740F">
        <w:t>: t</w:t>
      </w:r>
      <w:r w:rsidRPr="007C740F">
        <w:t xml:space="preserve">he </w:t>
      </w:r>
      <w:r w:rsidR="00152FCF" w:rsidRPr="007C740F">
        <w:t xml:space="preserve">reported </w:t>
      </w:r>
      <w:r w:rsidRPr="007C740F">
        <w:t xml:space="preserve">birth prevalences </w:t>
      </w:r>
      <w:r w:rsidR="00D82D67" w:rsidRPr="007C740F">
        <w:t xml:space="preserve">remain </w:t>
      </w:r>
      <w:r w:rsidRPr="007C740F">
        <w:t xml:space="preserve">relevant today and </w:t>
      </w:r>
      <w:r w:rsidR="000023AD" w:rsidRPr="007C740F">
        <w:t xml:space="preserve">are </w:t>
      </w:r>
      <w:r w:rsidRPr="007C740F">
        <w:t xml:space="preserve">used in the </w:t>
      </w:r>
      <w:r w:rsidR="00871319" w:rsidRPr="007C740F">
        <w:t>MGDb</w:t>
      </w:r>
      <w:r w:rsidRPr="007C740F">
        <w:t>.</w:t>
      </w:r>
      <w:r w:rsidR="00152FCF" w:rsidRPr="007C740F">
        <w:t xml:space="preserve"> The group also conducted survival studies. Their meticulous data for Down syndrome are also used in the MGDb.</w:t>
      </w:r>
    </w:p>
    <w:p w14:paraId="2D2E8452" w14:textId="757F1CAD" w:rsidR="00C8068D" w:rsidRPr="007C740F" w:rsidRDefault="00C8068D" w:rsidP="001F6D1C">
      <w:pPr>
        <w:pStyle w:val="BodyText1"/>
        <w:numPr>
          <w:ilvl w:val="0"/>
          <w:numId w:val="28"/>
        </w:numPr>
        <w:jc w:val="both"/>
      </w:pPr>
      <w:r w:rsidRPr="007C740F">
        <w:t>The national Hungarian Congenital Abnormality Registry initiated in 1962 (Czeizel 1997)</w:t>
      </w:r>
      <w:r w:rsidRPr="007C740F">
        <w:fldChar w:fldCharType="begin"/>
      </w:r>
      <w:r w:rsidRPr="007C740F">
        <w:instrText xml:space="preserve"> ADDIN EN.CITE &lt;EndNote&gt;&lt;Cite&gt;&lt;Author&gt;Czeizel&lt;/Author&gt;&lt;Year&gt;1997&lt;/Year&gt;&lt;RecNum&gt;285&lt;/RecNum&gt;&lt;DisplayText&gt;(Czeizel 1997)&lt;/DisplayText&gt;&lt;record&gt;&lt;rec-number&gt;285&lt;/rec-number&gt;&lt;foreign-keys&gt;&lt;key app="EN" db-id="ff92zd9psfd5v6e2dd6v90w6x2s029x92wpw" timestamp="1506435511"&gt;285&lt;/key&gt;&lt;/foreign-keys&gt;&lt;ref-type name="Journal Article"&gt;17&lt;/ref-type&gt;&lt;contributors&gt;&lt;authors&gt;&lt;author&gt;Czeizel, A. E.&lt;/author&gt;&lt;/authors&gt;&lt;/contributors&gt;&lt;auth-address&gt;Department of Human Genetics and Teratology, National Institute of Public Health-WHO Collaborating Center for Community Control of Hereditary Diseases, Budapest, Hungary.&lt;/auth-address&gt;&lt;titles&gt;&lt;title&gt;First 25 years of the Hungarian congenital abnormality registry&lt;/title&gt;&lt;secondary-title&gt;Teratology&lt;/secondary-title&gt;&lt;/titles&gt;&lt;periodical&gt;&lt;full-title&gt;Teratology&lt;/full-title&gt;&lt;/periodical&gt;&lt;pages&gt;299-305&lt;/pages&gt;&lt;volume&gt;55&lt;/volume&gt;&lt;number&gt;5&lt;/number&gt;&lt;keywords&gt;&lt;keyword&gt;Congenital Abnormalities/classification/diagnosis/*epidemiology/history&lt;/keyword&gt;&lt;keyword&gt;Diagnostic Errors&lt;/keyword&gt;&lt;keyword&gt;Female&lt;/keyword&gt;&lt;keyword&gt;History, 20th Century&lt;/keyword&gt;&lt;keyword&gt;Humans&lt;/keyword&gt;&lt;keyword&gt;Hungary/epidemiology&lt;/keyword&gt;&lt;keyword&gt;Infant&lt;/keyword&gt;&lt;keyword&gt;Infant, Newborn&lt;/keyword&gt;&lt;keyword&gt;Male&lt;/keyword&gt;&lt;keyword&gt;Prevalence&lt;/keyword&gt;&lt;keyword&gt;*Registries&lt;/keyword&gt;&lt;keyword&gt;Teratology&lt;/keyword&gt;&lt;/keywords&gt;&lt;dates&gt;&lt;year&gt;1997&lt;/year&gt;&lt;pub-dates&gt;&lt;date&gt;May&lt;/date&gt;&lt;/pub-dates&gt;&lt;/dates&gt;&lt;isbn&gt;0040-3709 (Print)&amp;#xD;0040-3709 (Linking)&lt;/isbn&gt;&lt;accession-num&gt;9261923&lt;/accession-num&gt;&lt;urls&gt;&lt;related-urls&gt;&lt;url&gt;https://www.ncbi.nlm.nih.gov/pubmed/9261923&lt;/url&gt;&lt;/related-urls&gt;&lt;/urls&gt;&lt;electronic-resource-num&gt;10.1002/(SICI)1096-9926(199705)55:5&amp;lt;299::AID-TERA1&amp;gt;3.0.CO;2-V&lt;/electronic-resource-num&gt;&lt;/record&gt;&lt;/Cite&gt;&lt;/EndNote&gt;</w:instrText>
      </w:r>
      <w:r w:rsidRPr="007C740F">
        <w:fldChar w:fldCharType="end"/>
      </w:r>
      <w:r w:rsidRPr="007C740F">
        <w:t xml:space="preserve"> was exceptional </w:t>
      </w:r>
      <w:r w:rsidR="00A5644D" w:rsidRPr="007C740F">
        <w:t>in being</w:t>
      </w:r>
      <w:r w:rsidRPr="007C740F">
        <w:t xml:space="preserve"> partnered with a public health initiative, the Hungarian Optimal Planning Programme (Czeizel 2012, Czeizel et al. 1998). This combination enabled invaluable studies including a pioneering assessment of the burden of congenital anomalies in terms of years of life lost, lived with disability or lived effectively cured (Czeizel &amp; Sankaranarayanan 1984), estimates of the power of interventions for prevention and care </w:t>
      </w:r>
      <w:r w:rsidRPr="007C740F">
        <w:fldChar w:fldCharType="begin"/>
      </w:r>
      <w:r w:rsidRPr="007C740F">
        <w:instrText xml:space="preserve"> ADDIN EN.CITE &lt;EndNote&gt;&lt;Cite&gt;&lt;Author&gt;Czeizel&lt;/Author&gt;&lt;Year&gt;1993&lt;/Year&gt;&lt;RecNum&gt;288&lt;/RecNum&gt;&lt;DisplayText&gt;(Czeizel et al. 1993)&lt;/DisplayText&gt;&lt;record&gt;&lt;rec-number&gt;288&lt;/rec-number&gt;&lt;foreign-keys&gt;&lt;key app="EN" db-id="ff92zd9psfd5v6e2dd6v90w6x2s029x92wpw" timestamp="1506435779"&gt;288&lt;/key&gt;&lt;/foreign-keys&gt;&lt;ref-type name="Journal Article"&gt;17&lt;/ref-type&gt;&lt;contributors&gt;&lt;authors&gt;&lt;author&gt;Czeizel, A. E.&lt;/author&gt;&lt;author&gt;Intody, Z.&lt;/author&gt;&lt;author&gt;Modell, B.&lt;/author&gt;&lt;/authors&gt;&lt;/contributors&gt;&lt;auth-address&gt;Department of Human Genetics and Teratology, National Institute of Hygiene, Budapest, Hungary.&lt;/auth-address&gt;&lt;titles&gt;&lt;title&gt;What proportion of congenital abnormalities can be prevented?&lt;/title&gt;&lt;secondary-title&gt;BMJ&lt;/secondary-title&gt;&lt;/titles&gt;&lt;periodical&gt;&lt;full-title&gt;BMJ&lt;/full-title&gt;&lt;/periodical&gt;&lt;pages&gt;499-503&lt;/pages&gt;&lt;volume&gt;306&lt;/volume&gt;&lt;number&gt;6876&lt;/number&gt;&lt;keywords&gt;&lt;keyword&gt;Abnormalities, Multiple/epidemiology/prevention &amp;amp; control&lt;/keyword&gt;&lt;keyword&gt;Congenital Abnormalities/epidemiology/etiology/*prevention &amp;amp; control&lt;/keyword&gt;&lt;keyword&gt;Humans&lt;/keyword&gt;&lt;keyword&gt;Hungary/epidemiology&lt;/keyword&gt;&lt;keyword&gt;Infant, Newborn&lt;/keyword&gt;&lt;keyword&gt;Prevalence&lt;/keyword&gt;&lt;keyword&gt;Preventive Health Services&lt;/keyword&gt;&lt;/keywords&gt;&lt;dates&gt;&lt;year&gt;1993&lt;/year&gt;&lt;pub-dates&gt;&lt;date&gt;Feb 20&lt;/date&gt;&lt;/pub-dates&gt;&lt;/dates&gt;&lt;isbn&gt;0959-8138 (Print)&amp;#xD;0959-535X (Linking)&lt;/isbn&gt;&lt;accession-num&gt;8448464&lt;/accession-num&gt;&lt;urls&gt;&lt;related-urls&gt;&lt;url&gt;https://www.ncbi.nlm.nih.gov/pubmed/8448464&lt;/url&gt;&lt;/related-urls&gt;&lt;/urls&gt;&lt;custom2&gt;PMC1676767&lt;/custom2&gt;&lt;/record&gt;&lt;/Cite&gt;&lt;/EndNote&gt;</w:instrText>
      </w:r>
      <w:r w:rsidRPr="007C740F">
        <w:fldChar w:fldCharType="separate"/>
      </w:r>
      <w:r w:rsidRPr="007C740F">
        <w:rPr>
          <w:noProof/>
        </w:rPr>
        <w:t>(Czeizel et al. 1993)</w:t>
      </w:r>
      <w:r w:rsidRPr="007C740F">
        <w:fldChar w:fldCharType="end"/>
      </w:r>
      <w:r w:rsidRPr="007C740F">
        <w:t>, and randomised controlled trials of interventions aiming to improve birth outcomes, including pre</w:t>
      </w:r>
      <w:r w:rsidR="002A52A5" w:rsidRPr="007C740F">
        <w:t>-</w:t>
      </w:r>
      <w:r w:rsidRPr="007C740F">
        <w:t xml:space="preserve">conceptional </w:t>
      </w:r>
      <w:r w:rsidR="00E8331A" w:rsidRPr="007C740F">
        <w:t xml:space="preserve">multivitamin or folic acid </w:t>
      </w:r>
      <w:r w:rsidRPr="007C740F">
        <w:t>supplementation (Czeizel and Dudas 1992</w:t>
      </w:r>
      <w:r w:rsidR="00E8331A" w:rsidRPr="007C740F">
        <w:t xml:space="preserve">, </w:t>
      </w:r>
      <w:r w:rsidRPr="007C740F">
        <w:t>Czeizel et al. 199</w:t>
      </w:r>
      <w:r w:rsidR="00542F2A" w:rsidRPr="007C740F">
        <w:t>7</w:t>
      </w:r>
      <w:r w:rsidRPr="007C740F">
        <w:t>).</w:t>
      </w:r>
      <w:r w:rsidR="00152FCF" w:rsidRPr="007C740F">
        <w:t xml:space="preserve"> The Hungarian estimates for the birth prevalence of congenital anomalies were used in the influential March of Dimes global report on birth defects (Christianson et al. 2006).</w:t>
      </w:r>
    </w:p>
    <w:p w14:paraId="6C96FC21" w14:textId="64C8C323" w:rsidR="00C8068D" w:rsidRPr="007C740F" w:rsidRDefault="00C8068D" w:rsidP="001F6D1C">
      <w:pPr>
        <w:pStyle w:val="BodyText1"/>
        <w:jc w:val="both"/>
      </w:pPr>
      <w:r w:rsidRPr="007C740F">
        <w:t xml:space="preserve">Particularly important </w:t>
      </w:r>
      <w:r w:rsidR="00BD4CAE" w:rsidRPr="007C740F">
        <w:t>for</w:t>
      </w:r>
      <w:r w:rsidRPr="007C740F">
        <w:t xml:space="preserve"> global epidemiology, two “umbrella registries” were initiated in 1974 to collect, standardise and harmonise </w:t>
      </w:r>
      <w:r w:rsidR="00BD4CAE" w:rsidRPr="007C740F">
        <w:t xml:space="preserve">data on </w:t>
      </w:r>
      <w:r w:rsidRPr="007C740F">
        <w:t xml:space="preserve">birth prevalence </w:t>
      </w:r>
      <w:r w:rsidR="00BD4CAE" w:rsidRPr="007C740F">
        <w:t xml:space="preserve">and birth outcomes </w:t>
      </w:r>
      <w:r w:rsidRPr="007C740F">
        <w:t xml:space="preserve">from individual registries and regularly publish key reference data. The European Surveillance of Congenital Anomalies and Twins network (EUROCAT, </w:t>
      </w:r>
      <w:hyperlink r:id="rId13" w:history="1">
        <w:r w:rsidRPr="007C740F">
          <w:rPr>
            <w:rStyle w:val="Hyperlink"/>
          </w:rPr>
          <w:t>www.eurocat-network.eu</w:t>
        </w:r>
      </w:hyperlink>
      <w:r w:rsidRPr="007C740F">
        <w:t xml:space="preserve">) aims to record the majority of severe congenital anomalies. The International Clearing House for Birth Defect Surveillance and Research (ICBDSR, </w:t>
      </w:r>
      <w:hyperlink r:id="rId14" w:history="1">
        <w:r w:rsidRPr="007C740F">
          <w:rPr>
            <w:rStyle w:val="Hyperlink"/>
          </w:rPr>
          <w:t>www.icbdsr.org</w:t>
        </w:r>
      </w:hyperlink>
      <w:r w:rsidRPr="007C740F">
        <w:t xml:space="preserve">) collects data from countries at all levels of development and </w:t>
      </w:r>
      <w:r w:rsidR="00A5644D" w:rsidRPr="007C740F">
        <w:t xml:space="preserve">reports on </w:t>
      </w:r>
      <w:r w:rsidRPr="007C740F">
        <w:t>the 30</w:t>
      </w:r>
      <w:r w:rsidR="006E035D" w:rsidRPr="007C740F">
        <w:t>-50</w:t>
      </w:r>
      <w:r w:rsidRPr="007C740F">
        <w:t>% of congenital anomalies that can be reliably diagnosed around the time of birth in the absence of advanced facilities. These umbrella registries have the outstanding advantage that they</w:t>
      </w:r>
      <w:r w:rsidR="00B13785" w:rsidRPr="007C740F">
        <w:t xml:space="preserve"> use standardised terminology, include only severe disorders</w:t>
      </w:r>
      <w:r w:rsidR="00B13785" w:rsidRPr="007C740F">
        <w:rPr>
          <w:rStyle w:val="FootnoteReference"/>
        </w:rPr>
        <w:footnoteReference w:id="9"/>
      </w:r>
      <w:r w:rsidR="00B13785" w:rsidRPr="007C740F">
        <w:t xml:space="preserve"> and, when feasible</w:t>
      </w:r>
      <w:r w:rsidR="00D849E7" w:rsidRPr="007C740F">
        <w:t>,</w:t>
      </w:r>
      <w:r w:rsidR="00B13785" w:rsidRPr="007C740F">
        <w:t xml:space="preserve"> </w:t>
      </w:r>
      <w:r w:rsidRPr="007C740F">
        <w:t xml:space="preserve">report all birth outcomes (termination of pregnancy for fetal impairment, fetal death/stillbirth, live birth), and so enable quantification of the effect of interventions </w:t>
      </w:r>
      <w:r w:rsidR="009D4ABA" w:rsidRPr="007C740F">
        <w:t>that</w:t>
      </w:r>
      <w:r w:rsidR="00152FCF" w:rsidRPr="007C740F">
        <w:t xml:space="preserve"> affect</w:t>
      </w:r>
      <w:r w:rsidRPr="007C740F">
        <w:t xml:space="preserve"> birth prevalence or birth outcomes.</w:t>
      </w:r>
      <w:r w:rsidR="00D849E7" w:rsidRPr="007C740F">
        <w:t xml:space="preserve"> These two registries are the primary sources for MGDb estimates of the baseline birth prevalence of congenital anomalies.</w:t>
      </w:r>
    </w:p>
    <w:p w14:paraId="77535C9F" w14:textId="5EFB95AD" w:rsidR="00CC6463" w:rsidRPr="007C740F" w:rsidRDefault="00CC6463" w:rsidP="006B1EE7">
      <w:pPr>
        <w:pStyle w:val="Heading3"/>
      </w:pPr>
      <w:bookmarkStart w:id="10" w:name="_Toc193659663"/>
      <w:r w:rsidRPr="007C740F">
        <w:t>Databases of genetically-determined disorders</w:t>
      </w:r>
      <w:bookmarkEnd w:id="10"/>
    </w:p>
    <w:p w14:paraId="5415297C" w14:textId="78555721" w:rsidR="00A56792" w:rsidRPr="007C740F" w:rsidRDefault="001261C7" w:rsidP="001F6D1C">
      <w:pPr>
        <w:pStyle w:val="BodyText1"/>
        <w:jc w:val="both"/>
      </w:pPr>
      <w:r w:rsidRPr="007C740F">
        <w:t xml:space="preserve">Three pioneering </w:t>
      </w:r>
      <w:r w:rsidR="00E64180" w:rsidRPr="007C740F">
        <w:t>enterprises</w:t>
      </w:r>
      <w:r w:rsidRPr="007C740F">
        <w:t xml:space="preserve"> </w:t>
      </w:r>
      <w:r w:rsidR="00E64180" w:rsidRPr="007C740F">
        <w:t xml:space="preserve">contributed to </w:t>
      </w:r>
      <w:r w:rsidRPr="007C740F">
        <w:t xml:space="preserve">a global picture of genetically-determined disorders: </w:t>
      </w:r>
      <w:r w:rsidR="000023C6" w:rsidRPr="007C740F">
        <w:t>Livingstone</w:t>
      </w:r>
      <w:r w:rsidR="007775A9" w:rsidRPr="007C740F">
        <w:t xml:space="preserve">’s database </w:t>
      </w:r>
      <w:r w:rsidRPr="007C740F">
        <w:t xml:space="preserve">on </w:t>
      </w:r>
      <w:r w:rsidR="000023C6" w:rsidRPr="007C740F">
        <w:t>haemoglobin disorders and G6PD deficiency</w:t>
      </w:r>
      <w:r w:rsidRPr="007C740F">
        <w:t xml:space="preserve"> (Livingstone 1985)</w:t>
      </w:r>
      <w:r w:rsidR="000023C6" w:rsidRPr="007C740F">
        <w:t>, Mourant</w:t>
      </w:r>
      <w:r w:rsidRPr="007C740F">
        <w:t xml:space="preserve"> and colleagues on </w:t>
      </w:r>
      <w:r w:rsidR="000023C6" w:rsidRPr="007C740F">
        <w:t>ABO and rhesus blood groups (Mourant et al. 1976)</w:t>
      </w:r>
      <w:r w:rsidR="00E64180" w:rsidRPr="007C740F">
        <w:t xml:space="preserve"> and </w:t>
      </w:r>
      <w:r w:rsidR="007775A9" w:rsidRPr="007C740F">
        <w:t xml:space="preserve">Alan </w:t>
      </w:r>
      <w:r w:rsidR="000023C6" w:rsidRPr="007C740F">
        <w:t>Bittles</w:t>
      </w:r>
      <w:r w:rsidR="007775A9" w:rsidRPr="007C740F">
        <w:t xml:space="preserve">’ </w:t>
      </w:r>
      <w:r w:rsidR="00E64180" w:rsidRPr="007C740F">
        <w:t xml:space="preserve">collection of data </w:t>
      </w:r>
      <w:r w:rsidR="000023C6" w:rsidRPr="007C740F">
        <w:t xml:space="preserve">on </w:t>
      </w:r>
      <w:r w:rsidR="00E64180" w:rsidRPr="007C740F">
        <w:t xml:space="preserve">the distribution of </w:t>
      </w:r>
      <w:r w:rsidR="000023C6" w:rsidRPr="007C740F">
        <w:t xml:space="preserve">parental consanguinity (Bittles </w:t>
      </w:r>
      <w:hyperlink r:id="rId15" w:history="1">
        <w:r w:rsidR="000023C6" w:rsidRPr="007C740F">
          <w:rPr>
            <w:rStyle w:val="Hyperlink"/>
          </w:rPr>
          <w:t>www.consang.net</w:t>
        </w:r>
      </w:hyperlink>
      <w:r w:rsidR="000023C6" w:rsidRPr="007C740F">
        <w:t>)</w:t>
      </w:r>
      <w:r w:rsidR="00C1493D" w:rsidRPr="007C740F">
        <w:t>. The</w:t>
      </w:r>
      <w:r w:rsidR="00E64180" w:rsidRPr="007C740F">
        <w:t xml:space="preserve">ir original data </w:t>
      </w:r>
      <w:r w:rsidR="00C1493D" w:rsidRPr="007C740F">
        <w:t xml:space="preserve">together with more recent studies </w:t>
      </w:r>
      <w:r w:rsidR="00E64180" w:rsidRPr="007C740F">
        <w:t xml:space="preserve">are used to develop </w:t>
      </w:r>
      <w:r w:rsidR="00C1493D" w:rsidRPr="007C740F">
        <w:t xml:space="preserve">MGDb estimates </w:t>
      </w:r>
      <w:r w:rsidR="00E64180" w:rsidRPr="007C740F">
        <w:t xml:space="preserve">for </w:t>
      </w:r>
      <w:r w:rsidR="00C1493D" w:rsidRPr="007C740F">
        <w:t xml:space="preserve"> h</w:t>
      </w:r>
      <w:r w:rsidR="00E64180" w:rsidRPr="007C740F">
        <w:t>ae</w:t>
      </w:r>
      <w:r w:rsidR="00C1493D" w:rsidRPr="007C740F">
        <w:t>moglobin disorders, rare single gene disorders, rhesus haemolytic disease of the newborn and neonatal jaundice due to GDPD deficiency.</w:t>
      </w:r>
    </w:p>
    <w:p w14:paraId="4A5D008C" w14:textId="371F776B" w:rsidR="00C1493D" w:rsidRPr="007C740F" w:rsidRDefault="00C1493D" w:rsidP="00C1493D">
      <w:pPr>
        <w:pStyle w:val="Heading3"/>
      </w:pPr>
      <w:bookmarkStart w:id="11" w:name="_Toc193659664"/>
      <w:r w:rsidRPr="007C740F">
        <w:lastRenderedPageBreak/>
        <w:t>Develop</w:t>
      </w:r>
      <w:r w:rsidR="009B7F76" w:rsidRPr="007C740F">
        <w:t xml:space="preserve">ing </w:t>
      </w:r>
      <w:r w:rsidRPr="007C740F">
        <w:t xml:space="preserve">the </w:t>
      </w:r>
      <w:r w:rsidR="00BE32D2" w:rsidRPr="007C740F">
        <w:t xml:space="preserve">principles </w:t>
      </w:r>
      <w:r w:rsidRPr="007C740F">
        <w:t>of Community Genetics</w:t>
      </w:r>
      <w:bookmarkEnd w:id="11"/>
    </w:p>
    <w:p w14:paraId="4A790548" w14:textId="4D50A287" w:rsidR="007C4472" w:rsidRPr="007C740F" w:rsidRDefault="008D27C2" w:rsidP="001F6D1C">
      <w:pPr>
        <w:pStyle w:val="BodyText1"/>
        <w:jc w:val="both"/>
      </w:pPr>
      <w:r w:rsidRPr="007C740F">
        <w:t xml:space="preserve">In the </w:t>
      </w:r>
      <w:r w:rsidR="006F7752" w:rsidRPr="007C740F">
        <w:t xml:space="preserve">early </w:t>
      </w:r>
      <w:r w:rsidRPr="007C740F">
        <w:t xml:space="preserve">1980s </w:t>
      </w:r>
      <w:r w:rsidR="00C55CEB" w:rsidRPr="007C740F">
        <w:t>Anver Kuliev</w:t>
      </w:r>
      <w:r w:rsidR="00BE32D2" w:rsidRPr="007C740F">
        <w:t xml:space="preserve">, </w:t>
      </w:r>
      <w:r w:rsidR="00FD2D64" w:rsidRPr="007C740F">
        <w:t xml:space="preserve">director of the </w:t>
      </w:r>
      <w:r w:rsidRPr="007C740F">
        <w:t>WHO Hereditary Diseases programme</w:t>
      </w:r>
      <w:r w:rsidR="00BE32D2" w:rsidRPr="007C740F">
        <w:t>,</w:t>
      </w:r>
      <w:r w:rsidR="00C55CEB" w:rsidRPr="007C740F">
        <w:t xml:space="preserve"> </w:t>
      </w:r>
      <w:r w:rsidR="00447250" w:rsidRPr="007C740F">
        <w:t xml:space="preserve">identified three key </w:t>
      </w:r>
      <w:r w:rsidR="00BE32D2" w:rsidRPr="007C740F">
        <w:t>components</w:t>
      </w:r>
      <w:r w:rsidR="00447250" w:rsidRPr="007C740F">
        <w:t xml:space="preserve"> </w:t>
      </w:r>
      <w:r w:rsidR="006F7752" w:rsidRPr="007C740F">
        <w:t xml:space="preserve">of Community Genetics </w:t>
      </w:r>
      <w:r w:rsidR="00447250" w:rsidRPr="007C740F">
        <w:t xml:space="preserve">- epidemiology, audit </w:t>
      </w:r>
      <w:r w:rsidR="00CC6463" w:rsidRPr="007C740F">
        <w:t xml:space="preserve">of the effect of interventions </w:t>
      </w:r>
      <w:r w:rsidR="00447250" w:rsidRPr="007C740F">
        <w:t>(surveillance)</w:t>
      </w:r>
      <w:r w:rsidR="00C55CEB" w:rsidRPr="007C740F">
        <w:t>,</w:t>
      </w:r>
      <w:r w:rsidR="00447250" w:rsidRPr="007C740F">
        <w:t xml:space="preserve"> </w:t>
      </w:r>
      <w:r w:rsidR="00CC6463" w:rsidRPr="007C740F">
        <w:t xml:space="preserve">and </w:t>
      </w:r>
      <w:r w:rsidR="00447250" w:rsidRPr="007C740F">
        <w:t>information and education</w:t>
      </w:r>
      <w:r w:rsidR="00C55CEB" w:rsidRPr="007C740F">
        <w:t xml:space="preserve"> (WHO 1985)</w:t>
      </w:r>
      <w:r w:rsidR="00BE32D2" w:rsidRPr="007C740F">
        <w:t xml:space="preserve"> and </w:t>
      </w:r>
      <w:r w:rsidRPr="007C740F">
        <w:t xml:space="preserve">initiated development of a global </w:t>
      </w:r>
      <w:r w:rsidR="00447250" w:rsidRPr="007C740F">
        <w:t xml:space="preserve">epidemiological </w:t>
      </w:r>
      <w:r w:rsidRPr="007C740F">
        <w:t>picture</w:t>
      </w:r>
      <w:r w:rsidR="00BE32D2" w:rsidRPr="007C740F">
        <w:t>,</w:t>
      </w:r>
      <w:r w:rsidR="00152FCD" w:rsidRPr="007C740F">
        <w:t xml:space="preserve"> starting </w:t>
      </w:r>
      <w:r w:rsidR="00D849E7" w:rsidRPr="007C740F">
        <w:t xml:space="preserve">with </w:t>
      </w:r>
      <w:r w:rsidR="00447250" w:rsidRPr="007C740F">
        <w:t>country-specific estimates for haemoglobin disorders</w:t>
      </w:r>
      <w:r w:rsidRPr="007C740F">
        <w:t xml:space="preserve"> (WHO 1983</w:t>
      </w:r>
      <w:r w:rsidR="00C1493D" w:rsidRPr="007C740F">
        <w:t>) and G6PD deficiency (</w:t>
      </w:r>
      <w:r w:rsidR="00270B89" w:rsidRPr="007C740F">
        <w:t>WHO 1985b</w:t>
      </w:r>
      <w:r w:rsidR="00C1493D" w:rsidRPr="007C740F">
        <w:t>).</w:t>
      </w:r>
      <w:r w:rsidRPr="007C740F">
        <w:t xml:space="preserve"> </w:t>
      </w:r>
      <w:r w:rsidR="00F014D3" w:rsidRPr="007C740F">
        <w:t xml:space="preserve">The work </w:t>
      </w:r>
      <w:r w:rsidR="00552664" w:rsidRPr="007C740F">
        <w:t xml:space="preserve">continued </w:t>
      </w:r>
      <w:r w:rsidR="00AD59B7" w:rsidRPr="007C740F">
        <w:t xml:space="preserve">in collaboration with </w:t>
      </w:r>
      <w:r w:rsidR="00F014D3" w:rsidRPr="007C740F">
        <w:t xml:space="preserve">the </w:t>
      </w:r>
      <w:r w:rsidR="00C55CEB" w:rsidRPr="007C740F">
        <w:t xml:space="preserve">WHO </w:t>
      </w:r>
      <w:r w:rsidR="00716610" w:rsidRPr="007C740F">
        <w:t xml:space="preserve">regional </w:t>
      </w:r>
      <w:r w:rsidR="006F7752" w:rsidRPr="007C740F">
        <w:t xml:space="preserve">offices for </w:t>
      </w:r>
      <w:r w:rsidR="00447250" w:rsidRPr="007C740F">
        <w:t>Europe</w:t>
      </w:r>
      <w:r w:rsidR="00552664" w:rsidRPr="007C740F">
        <w:t xml:space="preserve"> </w:t>
      </w:r>
      <w:r w:rsidR="00A5644D" w:rsidRPr="007C740F">
        <w:t xml:space="preserve">(EURO) </w:t>
      </w:r>
      <w:r w:rsidR="00552664" w:rsidRPr="007C740F">
        <w:t xml:space="preserve">(Modell et al. 1992) </w:t>
      </w:r>
      <w:r w:rsidR="00447250" w:rsidRPr="007C740F">
        <w:t xml:space="preserve">and </w:t>
      </w:r>
      <w:r w:rsidR="006F7752" w:rsidRPr="007C740F">
        <w:t xml:space="preserve">the </w:t>
      </w:r>
      <w:r w:rsidR="00447250" w:rsidRPr="007C740F">
        <w:t xml:space="preserve">Eastern Mediterranean </w:t>
      </w:r>
      <w:r w:rsidR="00A5644D" w:rsidRPr="007C740F">
        <w:t xml:space="preserve">(EMRO) </w:t>
      </w:r>
      <w:r w:rsidR="00552664" w:rsidRPr="007C740F">
        <w:t>(</w:t>
      </w:r>
      <w:r w:rsidRPr="007C740F">
        <w:t>Alwan and Modell 1997, Christianson and Modell 2004)</w:t>
      </w:r>
      <w:r w:rsidR="00716610" w:rsidRPr="007C740F">
        <w:t xml:space="preserve">, </w:t>
      </w:r>
      <w:r w:rsidR="00AD59B7" w:rsidRPr="007C740F">
        <w:t>support</w:t>
      </w:r>
      <w:r w:rsidR="00716610" w:rsidRPr="007C740F">
        <w:t xml:space="preserve">ed by </w:t>
      </w:r>
      <w:r w:rsidR="00AD59B7" w:rsidRPr="007C740F">
        <w:t>the Wellcome Trust</w:t>
      </w:r>
      <w:r w:rsidR="005002F9" w:rsidRPr="007C740F">
        <w:t xml:space="preserve"> to 2000 and </w:t>
      </w:r>
      <w:r w:rsidR="00716610" w:rsidRPr="007C740F">
        <w:t xml:space="preserve">then by </w:t>
      </w:r>
      <w:r w:rsidR="005002F9" w:rsidRPr="007C740F">
        <w:t>EMRO</w:t>
      </w:r>
      <w:r w:rsidRPr="007C740F">
        <w:t xml:space="preserve">. </w:t>
      </w:r>
      <w:r w:rsidR="00552664" w:rsidRPr="007C740F">
        <w:t xml:space="preserve">The </w:t>
      </w:r>
      <w:r w:rsidR="000D6A69" w:rsidRPr="007C740F">
        <w:t xml:space="preserve">estimates </w:t>
      </w:r>
      <w:r w:rsidR="00C55CEB" w:rsidRPr="007C740F">
        <w:t xml:space="preserve">contributed to </w:t>
      </w:r>
      <w:r w:rsidR="000D6A69" w:rsidRPr="007C740F">
        <w:t>several WHO reports (</w:t>
      </w:r>
      <w:r w:rsidR="00B814C2" w:rsidRPr="007C740F">
        <w:t>WHO 2000, 200</w:t>
      </w:r>
      <w:r w:rsidR="00E05CDB" w:rsidRPr="007C740F">
        <w:t>6</w:t>
      </w:r>
      <w:r w:rsidR="000D6A69" w:rsidRPr="007C740F">
        <w:t>)</w:t>
      </w:r>
      <w:r w:rsidR="00F014D3" w:rsidRPr="007C740F">
        <w:t>,</w:t>
      </w:r>
      <w:r w:rsidR="00B814C2" w:rsidRPr="007C740F">
        <w:t xml:space="preserve"> </w:t>
      </w:r>
      <w:r w:rsidR="000D6A69" w:rsidRPr="007C740F">
        <w:t xml:space="preserve">provided the quantitative basis for </w:t>
      </w:r>
      <w:r w:rsidRPr="007C740F">
        <w:t xml:space="preserve">the influential </w:t>
      </w:r>
      <w:r w:rsidR="00E05CDB" w:rsidRPr="007C740F">
        <w:t>MOD (</w:t>
      </w:r>
      <w:r w:rsidRPr="007C740F">
        <w:t>March of Dimes</w:t>
      </w:r>
      <w:r w:rsidR="00E05CDB" w:rsidRPr="007C740F">
        <w:t>)</w:t>
      </w:r>
      <w:r w:rsidRPr="007C740F">
        <w:t xml:space="preserve"> Global Report on Birth Defects (Christianson et al. 2006)</w:t>
      </w:r>
      <w:r w:rsidR="00F014D3" w:rsidRPr="007C740F">
        <w:t xml:space="preserve"> and contributed estimates for the “Born Healthy” needs assessment toolkit (Nacul et al. 2013: </w:t>
      </w:r>
      <w:hyperlink r:id="rId16" w:history="1">
        <w:r w:rsidR="00F014D3" w:rsidRPr="007C740F">
          <w:rPr>
            <w:rStyle w:val="Hyperlink"/>
          </w:rPr>
          <w:t>http://www.bornhealthy.org</w:t>
        </w:r>
      </w:hyperlink>
      <w:r w:rsidR="00F014D3" w:rsidRPr="007C740F">
        <w:t>).</w:t>
      </w:r>
    </w:p>
    <w:p w14:paraId="3EEAFE68" w14:textId="2977F763" w:rsidR="00E05CDB" w:rsidRPr="007C740F" w:rsidRDefault="00E05CDB" w:rsidP="001F6D1C">
      <w:pPr>
        <w:pStyle w:val="BodyText1"/>
        <w:jc w:val="both"/>
      </w:pPr>
      <w:r w:rsidRPr="007C740F">
        <w:t xml:space="preserve">Following </w:t>
      </w:r>
      <w:r w:rsidR="00F014D3" w:rsidRPr="007C740F">
        <w:t xml:space="preserve">WHO endorsement of the </w:t>
      </w:r>
      <w:r w:rsidRPr="007C740F">
        <w:t>MOD</w:t>
      </w:r>
      <w:r w:rsidR="00F014D3" w:rsidRPr="007C740F">
        <w:t xml:space="preserve"> estimates </w:t>
      </w:r>
      <w:r w:rsidR="00482258" w:rsidRPr="007C740F">
        <w:t>(WHO 2006)</w:t>
      </w:r>
      <w:r w:rsidRPr="007C740F">
        <w:t xml:space="preserve"> the World Health Assembly approved </w:t>
      </w:r>
      <w:r w:rsidR="00C55CEB" w:rsidRPr="007C740F">
        <w:t>a D</w:t>
      </w:r>
      <w:r w:rsidR="00552664" w:rsidRPr="007C740F">
        <w:t>eclaration on Birth Defects</w:t>
      </w:r>
      <w:r w:rsidRPr="007C740F">
        <w:t xml:space="preserve"> including </w:t>
      </w:r>
      <w:r w:rsidR="00A67B2C" w:rsidRPr="007C740F">
        <w:t xml:space="preserve">the </w:t>
      </w:r>
      <w:r w:rsidR="00E23990" w:rsidRPr="007C740F">
        <w:t xml:space="preserve">recommendation </w:t>
      </w:r>
      <w:r w:rsidR="00AB794A" w:rsidRPr="007C740F">
        <w:rPr>
          <w:i/>
          <w:iCs/>
        </w:rPr>
        <w:t>“to promote the collection of data on the global burden of mortality and morbidity due to birth defects”</w:t>
      </w:r>
      <w:r w:rsidR="00E87B7A" w:rsidRPr="007C740F">
        <w:rPr>
          <w:i/>
          <w:iCs/>
        </w:rPr>
        <w:t xml:space="preserve"> and </w:t>
      </w:r>
      <w:r w:rsidR="00AB794A" w:rsidRPr="007C740F">
        <w:rPr>
          <w:i/>
          <w:iCs/>
        </w:rPr>
        <w:t>“resolve currently divergent opinions on the health burden of both environme</w:t>
      </w:r>
      <w:r w:rsidR="00BE32D2" w:rsidRPr="007C740F">
        <w:rPr>
          <w:i/>
          <w:iCs/>
        </w:rPr>
        <w:t>n</w:t>
      </w:r>
      <w:r w:rsidR="00AB794A" w:rsidRPr="007C740F">
        <w:rPr>
          <w:i/>
          <w:iCs/>
        </w:rPr>
        <w:t xml:space="preserve">tal and </w:t>
      </w:r>
      <w:r w:rsidR="0064794C" w:rsidRPr="007C740F">
        <w:rPr>
          <w:i/>
          <w:iCs/>
        </w:rPr>
        <w:t>endogenous</w:t>
      </w:r>
      <w:r w:rsidR="00AB794A" w:rsidRPr="007C740F">
        <w:rPr>
          <w:i/>
          <w:iCs/>
        </w:rPr>
        <w:t xml:space="preserve"> birth defects”</w:t>
      </w:r>
      <w:r w:rsidRPr="007C740F">
        <w:rPr>
          <w:i/>
          <w:iCs/>
        </w:rPr>
        <w:t xml:space="preserve"> </w:t>
      </w:r>
      <w:r w:rsidRPr="007C740F">
        <w:t>(WHO 2010, see Annex 2).</w:t>
      </w:r>
    </w:p>
    <w:p w14:paraId="5C84E97A" w14:textId="154DB25A" w:rsidR="00AB794A" w:rsidRPr="007C740F" w:rsidRDefault="009B7F76" w:rsidP="001F6D1C">
      <w:pPr>
        <w:pStyle w:val="BodyText1"/>
        <w:jc w:val="both"/>
      </w:pPr>
      <w:r w:rsidRPr="007C740F">
        <w:t xml:space="preserve">Following the MOD report </w:t>
      </w:r>
      <w:r w:rsidR="00CA040A" w:rsidRPr="007C740F">
        <w:t xml:space="preserve">the Global Burden of Disease study commissioned </w:t>
      </w:r>
      <w:r w:rsidR="00E05CDB" w:rsidRPr="007C740F">
        <w:t xml:space="preserve">Professor Joy Lawn </w:t>
      </w:r>
      <w:r w:rsidR="00CA040A" w:rsidRPr="007C740F">
        <w:t>to convene an Expert Group on Congenital and Genetic Disorders. The group approved the MOD birth prevalence estimates and p</w:t>
      </w:r>
      <w:r w:rsidR="001A089E" w:rsidRPr="007C740F">
        <w:t xml:space="preserve">romoted </w:t>
      </w:r>
      <w:r w:rsidR="00716610" w:rsidRPr="007C740F">
        <w:t xml:space="preserve">further </w:t>
      </w:r>
      <w:r w:rsidR="001A089E" w:rsidRPr="007C740F">
        <w:t xml:space="preserve">development of </w:t>
      </w:r>
      <w:r w:rsidR="00D005B7" w:rsidRPr="007C740F">
        <w:t xml:space="preserve">the </w:t>
      </w:r>
      <w:r w:rsidR="00CA040A" w:rsidRPr="007C740F">
        <w:t>database</w:t>
      </w:r>
      <w:r w:rsidR="00412CC6" w:rsidRPr="007C740F">
        <w:t xml:space="preserve">, in response to the World Health Assembly declaration, </w:t>
      </w:r>
      <w:r w:rsidR="00D005B7" w:rsidRPr="007C740F">
        <w:t xml:space="preserve">to </w:t>
      </w:r>
      <w:r w:rsidR="001A089E" w:rsidRPr="007C740F">
        <w:t xml:space="preserve">include estimates of early </w:t>
      </w:r>
      <w:r w:rsidR="00D005B7" w:rsidRPr="007C740F">
        <w:t>death disability and cure</w:t>
      </w:r>
      <w:r w:rsidRPr="007C740F">
        <w:t>.</w:t>
      </w:r>
      <w:r w:rsidR="00CA040A" w:rsidRPr="007C740F">
        <w:rPr>
          <w:rStyle w:val="FootnoteReference"/>
        </w:rPr>
        <w:footnoteReference w:id="10"/>
      </w:r>
      <w:r w:rsidR="00D005B7" w:rsidRPr="007C740F">
        <w:t xml:space="preserve"> </w:t>
      </w:r>
      <w:r w:rsidRPr="007C740F">
        <w:t>T</w:t>
      </w:r>
      <w:r w:rsidR="00D005B7" w:rsidRPr="007C740F">
        <w:t>h</w:t>
      </w:r>
      <w:r w:rsidR="00CA040A" w:rsidRPr="007C740F">
        <w:t>e</w:t>
      </w:r>
      <w:r w:rsidR="00432FE7" w:rsidRPr="007C740F">
        <w:t xml:space="preserve"> </w:t>
      </w:r>
      <w:r w:rsidR="00D005B7" w:rsidRPr="007C740F">
        <w:t xml:space="preserve">current </w:t>
      </w:r>
      <w:r w:rsidR="00E87B7A" w:rsidRPr="007C740F">
        <w:t>MGDb</w:t>
      </w:r>
      <w:r w:rsidR="00CA040A" w:rsidRPr="007C740F">
        <w:t xml:space="preserve"> is the outcome of this collaboration</w:t>
      </w:r>
      <w:r w:rsidR="00E87B7A" w:rsidRPr="007C740F">
        <w:t>.</w:t>
      </w:r>
    </w:p>
    <w:p w14:paraId="71FDE07B" w14:textId="77777777" w:rsidR="006B1EE7" w:rsidRPr="007C740F" w:rsidRDefault="006B1EE7" w:rsidP="00866CE4">
      <w:pPr>
        <w:pStyle w:val="NoSpacing"/>
      </w:pPr>
      <w:bookmarkStart w:id="12" w:name="_Toc472347323"/>
      <w:r w:rsidRPr="007C740F">
        <w:br w:type="page"/>
      </w:r>
    </w:p>
    <w:p w14:paraId="3399D5DB" w14:textId="77777777" w:rsidR="006F7752" w:rsidRPr="007C740F" w:rsidRDefault="006F7752" w:rsidP="006901A3">
      <w:pPr>
        <w:pStyle w:val="Heading1"/>
      </w:pPr>
      <w:bookmarkStart w:id="13" w:name="_Toc193659665"/>
      <w:r w:rsidRPr="007C740F">
        <w:lastRenderedPageBreak/>
        <w:t>The general method</w:t>
      </w:r>
      <w:bookmarkEnd w:id="12"/>
      <w:bookmarkEnd w:id="13"/>
    </w:p>
    <w:p w14:paraId="2FAE001C" w14:textId="0D8C379F" w:rsidR="00DD39FA" w:rsidRPr="007C740F" w:rsidRDefault="006F7752" w:rsidP="001F6D1C">
      <w:pPr>
        <w:pStyle w:val="BodyText1"/>
        <w:jc w:val="both"/>
      </w:pPr>
      <w:r w:rsidRPr="007C740F">
        <w:t>Baseline birth prevalence</w:t>
      </w:r>
      <w:r w:rsidR="007A6414" w:rsidRPr="007C740F">
        <w:t xml:space="preserve"> - </w:t>
      </w:r>
      <w:r w:rsidRPr="007C740F">
        <w:t>affected births that would occur in the absence of any intervention</w:t>
      </w:r>
      <w:r w:rsidR="007A6414" w:rsidRPr="007C740F">
        <w:rPr>
          <w:rStyle w:val="FootnoteReference"/>
        </w:rPr>
        <w:footnoteReference w:id="11"/>
      </w:r>
      <w:r w:rsidR="007A6414" w:rsidRPr="007C740F">
        <w:t xml:space="preserve"> - </w:t>
      </w:r>
      <w:r w:rsidR="004E7D79" w:rsidRPr="007C740F">
        <w:t xml:space="preserve">provides </w:t>
      </w:r>
      <w:r w:rsidRPr="007C740F">
        <w:t xml:space="preserve">the foundation of the </w:t>
      </w:r>
      <w:r w:rsidR="00871319" w:rsidRPr="007C740F">
        <w:t>MGDb</w:t>
      </w:r>
      <w:r w:rsidRPr="007C740F">
        <w:t xml:space="preserve">. </w:t>
      </w:r>
      <w:r w:rsidR="00B77155" w:rsidRPr="007C740F">
        <w:t>MGDb e</w:t>
      </w:r>
      <w:r w:rsidR="00DD39FA" w:rsidRPr="007C740F">
        <w:t>stimates of baseline birth prevalence are in general strongly evidence-based, though some under-ascertainment is probable.</w:t>
      </w:r>
    </w:p>
    <w:p w14:paraId="41470BF0" w14:textId="69CE9656" w:rsidR="0074525D" w:rsidRPr="007C740F" w:rsidRDefault="006F7752" w:rsidP="001F6D1C">
      <w:pPr>
        <w:pStyle w:val="BodyText1"/>
        <w:jc w:val="both"/>
      </w:pPr>
      <w:r w:rsidRPr="007C740F">
        <w:t xml:space="preserve">The </w:t>
      </w:r>
      <w:r w:rsidR="0033433C" w:rsidRPr="007C740F">
        <w:t xml:space="preserve">MGDb </w:t>
      </w:r>
      <w:r w:rsidRPr="007C740F">
        <w:t xml:space="preserve">generates estimates for all </w:t>
      </w:r>
      <w:r w:rsidR="004E7D79" w:rsidRPr="007C740F">
        <w:t xml:space="preserve">birth </w:t>
      </w:r>
      <w:r w:rsidRPr="007C740F">
        <w:t xml:space="preserve">outcomes </w:t>
      </w:r>
      <w:r w:rsidR="00DD39FA" w:rsidRPr="007C740F">
        <w:t>from 20 weeks’ gestation onwards.</w:t>
      </w:r>
      <w:r w:rsidRPr="007C740F">
        <w:rPr>
          <w:rStyle w:val="FootnoteReference"/>
        </w:rPr>
        <w:footnoteReference w:id="12"/>
      </w:r>
      <w:r w:rsidRPr="007C740F">
        <w:t xml:space="preserve"> </w:t>
      </w:r>
      <w:r w:rsidR="0074525D" w:rsidRPr="007C740F">
        <w:t xml:space="preserve">Crucially, all must fit into the envelope </w:t>
      </w:r>
      <w:r w:rsidR="00AD59B7" w:rsidRPr="007C740F">
        <w:t xml:space="preserve">provided by </w:t>
      </w:r>
      <w:r w:rsidR="0074525D" w:rsidRPr="007C740F">
        <w:t>baseline birth prevalence.</w:t>
      </w:r>
    </w:p>
    <w:p w14:paraId="02462BEE" w14:textId="77777777" w:rsidR="0033433C" w:rsidRPr="007C740F" w:rsidRDefault="006F7752" w:rsidP="004E7D79">
      <w:pPr>
        <w:pStyle w:val="BodyText1"/>
      </w:pPr>
      <w:r w:rsidRPr="007C740F">
        <w:t xml:space="preserve">Figure 2 shows the possible outcomes for a </w:t>
      </w:r>
      <w:r w:rsidR="004E7D79" w:rsidRPr="007C740F">
        <w:t xml:space="preserve">severe </w:t>
      </w:r>
      <w:r w:rsidRPr="007C740F">
        <w:t xml:space="preserve">congenital disorder in </w:t>
      </w:r>
      <w:r w:rsidR="00212D39" w:rsidRPr="007C740F">
        <w:t xml:space="preserve">the </w:t>
      </w:r>
      <w:r w:rsidR="004E7D79" w:rsidRPr="007C740F">
        <w:t>baseline “no-care” situation</w:t>
      </w:r>
      <w:r w:rsidR="0033433C" w:rsidRPr="007C740F">
        <w:t>.</w:t>
      </w:r>
    </w:p>
    <w:p w14:paraId="251F7F75" w14:textId="1E0D60C5" w:rsidR="006F7752" w:rsidRPr="007C740F" w:rsidRDefault="006F7752" w:rsidP="004E7D79">
      <w:pPr>
        <w:pStyle w:val="BodyText1"/>
      </w:pPr>
      <w:r w:rsidRPr="007C740F">
        <w:rPr>
          <w:noProof/>
          <w:lang w:eastAsia="en-GB"/>
        </w:rPr>
        <w:drawing>
          <wp:inline distT="0" distB="0" distL="0" distR="0" wp14:anchorId="67440A29" wp14:editId="3846A95A">
            <wp:extent cx="5740400" cy="10660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9389" cy="1071459"/>
                    </a:xfrm>
                    <a:prstGeom prst="rect">
                      <a:avLst/>
                    </a:prstGeom>
                    <a:noFill/>
                    <a:ln>
                      <a:noFill/>
                    </a:ln>
                  </pic:spPr>
                </pic:pic>
              </a:graphicData>
            </a:graphic>
          </wp:inline>
        </w:drawing>
      </w:r>
    </w:p>
    <w:p w14:paraId="44697AC7" w14:textId="588A52B1" w:rsidR="006F7752" w:rsidRPr="007C740F" w:rsidRDefault="006F7752" w:rsidP="006F7752">
      <w:pPr>
        <w:pStyle w:val="Figurelegend"/>
        <w:keepNext/>
      </w:pPr>
      <w:r w:rsidRPr="007C740F">
        <w:t xml:space="preserve">Figure 2. In the absence of intervention – the “no-care” or baseline situation - the only possible outcomes for a </w:t>
      </w:r>
      <w:r w:rsidR="00212D39" w:rsidRPr="007C740F">
        <w:t xml:space="preserve">severe </w:t>
      </w:r>
      <w:r w:rsidRPr="007C740F">
        <w:t>congenital disorder are miscarriage, stillbirth, early death or disability.</w:t>
      </w:r>
    </w:p>
    <w:p w14:paraId="1D9804E1" w14:textId="356A45CC" w:rsidR="0074525D" w:rsidRPr="007C740F" w:rsidRDefault="004E7D79" w:rsidP="001F6D1C">
      <w:pPr>
        <w:pStyle w:val="BodyText1"/>
        <w:jc w:val="both"/>
      </w:pPr>
      <w:r w:rsidRPr="007C740F">
        <w:t>Q</w:t>
      </w:r>
      <w:r w:rsidR="00212D39" w:rsidRPr="007C740F">
        <w:t xml:space="preserve">uantitative estimates of </w:t>
      </w:r>
      <w:r w:rsidR="00B415AF" w:rsidRPr="007C740F">
        <w:t>“no-care”</w:t>
      </w:r>
      <w:r w:rsidRPr="007C740F">
        <w:t xml:space="preserve"> </w:t>
      </w:r>
      <w:r w:rsidR="00212D39" w:rsidRPr="007C740F">
        <w:t xml:space="preserve">outcomes </w:t>
      </w:r>
      <w:r w:rsidR="00DD39FA" w:rsidRPr="007C740F">
        <w:t xml:space="preserve">are </w:t>
      </w:r>
      <w:r w:rsidR="00212D39" w:rsidRPr="007C740F">
        <w:t>based on classical early studies fr</w:t>
      </w:r>
      <w:r w:rsidR="00B415AF" w:rsidRPr="007C740F">
        <w:t>om high income countries</w:t>
      </w:r>
      <w:r w:rsidR="0033433C" w:rsidRPr="007C740F">
        <w:t xml:space="preserve">, </w:t>
      </w:r>
      <w:r w:rsidR="00B415AF" w:rsidRPr="007C740F">
        <w:t xml:space="preserve">on rare local studies, or </w:t>
      </w:r>
      <w:r w:rsidR="0033433C" w:rsidRPr="007C740F">
        <w:t xml:space="preserve">on </w:t>
      </w:r>
      <w:r w:rsidR="00212D39" w:rsidRPr="007C740F">
        <w:t>expert opinion when no such reports are available</w:t>
      </w:r>
      <w:r w:rsidR="00A3399D" w:rsidRPr="007C740F">
        <w:t>.</w:t>
      </w:r>
    </w:p>
    <w:p w14:paraId="52E969BA" w14:textId="77777777" w:rsidR="006F7752" w:rsidRPr="007C740F" w:rsidRDefault="006F7752" w:rsidP="001F6D1C">
      <w:pPr>
        <w:pStyle w:val="BodyText1"/>
        <w:jc w:val="both"/>
      </w:pPr>
      <w:r w:rsidRPr="007C740F">
        <w:t>Figure 3 indicates the possible points for intervention, with additional outcomes shown in red.</w:t>
      </w:r>
      <w:r w:rsidR="00DD6811" w:rsidRPr="007C740F">
        <w:t xml:space="preserve"> Interventions included in the </w:t>
      </w:r>
      <w:r w:rsidR="00871319" w:rsidRPr="007C740F">
        <w:t>MGDb</w:t>
      </w:r>
      <w:r w:rsidR="00DD6811" w:rsidRPr="007C740F">
        <w:t xml:space="preserve"> are: administration of anti-D to rhesus negative women; mandatory folic acid food fortification; genetic risk assessment and counselling; prenatal diagnosis with the option of termination of pregnancy; and early diagnosis and care.</w:t>
      </w:r>
    </w:p>
    <w:p w14:paraId="5F89F496" w14:textId="77777777" w:rsidR="006F7752" w:rsidRPr="007C740F" w:rsidRDefault="006F7752" w:rsidP="003E0FF2">
      <w:pPr>
        <w:pStyle w:val="Figurelegend"/>
        <w:keepNext/>
      </w:pPr>
      <w:r w:rsidRPr="007C740F">
        <w:rPr>
          <w:noProof/>
          <w:lang w:eastAsia="en-GB"/>
        </w:rPr>
        <w:drawing>
          <wp:inline distT="0" distB="0" distL="0" distR="0" wp14:anchorId="09DBAF1A" wp14:editId="4BD91DE9">
            <wp:extent cx="6120130" cy="1627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130" cy="1627280"/>
                    </a:xfrm>
                    <a:prstGeom prst="rect">
                      <a:avLst/>
                    </a:prstGeom>
                    <a:noFill/>
                    <a:ln>
                      <a:noFill/>
                    </a:ln>
                  </pic:spPr>
                </pic:pic>
              </a:graphicData>
            </a:graphic>
          </wp:inline>
        </w:drawing>
      </w:r>
    </w:p>
    <w:p w14:paraId="4A790D89" w14:textId="77777777" w:rsidR="006F7752" w:rsidRPr="007C740F" w:rsidRDefault="006F7752" w:rsidP="006F7752">
      <w:pPr>
        <w:pStyle w:val="Figurelegend"/>
      </w:pPr>
      <w:r w:rsidRPr="007C740F">
        <w:t xml:space="preserve">Figure 3. Chart showing the sequence of events covered in the </w:t>
      </w:r>
      <w:r w:rsidR="00871319" w:rsidRPr="007C740F">
        <w:t>MGDb</w:t>
      </w:r>
      <w:r w:rsidRPr="007C740F">
        <w:t>. Blue lines show outcomes in the absence of intervention. Red lines show possible interventions and their main outcomes.</w:t>
      </w:r>
    </w:p>
    <w:p w14:paraId="210921F4" w14:textId="3B83613D" w:rsidR="0080798C" w:rsidRPr="007C740F" w:rsidRDefault="00B415AF" w:rsidP="001F6D1C">
      <w:pPr>
        <w:pStyle w:val="BodyText1"/>
        <w:jc w:val="both"/>
      </w:pPr>
      <w:r w:rsidRPr="007C740F">
        <w:t xml:space="preserve">Estimates of outcomes with </w:t>
      </w:r>
      <w:r w:rsidR="0074525D" w:rsidRPr="007C740F">
        <w:t>“</w:t>
      </w:r>
      <w:r w:rsidR="004B097B" w:rsidRPr="007C740F">
        <w:t xml:space="preserve">100% </w:t>
      </w:r>
      <w:r w:rsidR="00CE48DD" w:rsidRPr="007C740F">
        <w:t>access to services</w:t>
      </w:r>
      <w:r w:rsidR="0074525D" w:rsidRPr="007C740F">
        <w:t xml:space="preserve">” </w:t>
      </w:r>
      <w:r w:rsidRPr="007C740F">
        <w:t xml:space="preserve">are based on </w:t>
      </w:r>
      <w:r w:rsidR="006F7752" w:rsidRPr="007C740F">
        <w:t xml:space="preserve">observational data </w:t>
      </w:r>
      <w:r w:rsidR="0080798C" w:rsidRPr="007C740F">
        <w:t>from high income settin</w:t>
      </w:r>
      <w:r w:rsidR="00CE48DD" w:rsidRPr="007C740F">
        <w:t xml:space="preserve">gs </w:t>
      </w:r>
      <w:r w:rsidRPr="007C740F">
        <w:t xml:space="preserve">where </w:t>
      </w:r>
      <w:r w:rsidR="00E73A3E" w:rsidRPr="007C740F">
        <w:t xml:space="preserve">available interventions are equitably deployed at the population level. </w:t>
      </w:r>
      <w:r w:rsidR="00DD6811" w:rsidRPr="007C740F">
        <w:t xml:space="preserve">However </w:t>
      </w:r>
      <w:r w:rsidR="00CE64D7" w:rsidRPr="007C740F">
        <w:t xml:space="preserve">inter-country differences in policies for deployment of e.g. folic acid food fortification or the option of termination of pregnancy must also be </w:t>
      </w:r>
      <w:r w:rsidR="001F6D1C" w:rsidRPr="007C740F">
        <w:t>considered</w:t>
      </w:r>
      <w:r w:rsidR="00CE64D7" w:rsidRPr="007C740F">
        <w:t>.</w:t>
      </w:r>
    </w:p>
    <w:p w14:paraId="0442A909" w14:textId="0C5B7ABD" w:rsidR="00B415AF" w:rsidRPr="007C740F" w:rsidRDefault="00B415AF" w:rsidP="00B415AF">
      <w:pPr>
        <w:pStyle w:val="Heading2"/>
      </w:pPr>
      <w:bookmarkStart w:id="14" w:name="_Toc193659666"/>
      <w:r w:rsidRPr="007C740F">
        <w:lastRenderedPageBreak/>
        <w:t>Assessing the power of interventions</w:t>
      </w:r>
      <w:bookmarkEnd w:id="14"/>
    </w:p>
    <w:p w14:paraId="766857AB" w14:textId="6FB63116" w:rsidR="005E3E59" w:rsidRPr="007C740F" w:rsidRDefault="00362D8D" w:rsidP="001F6D1C">
      <w:pPr>
        <w:pStyle w:val="BodyText1"/>
        <w:jc w:val="both"/>
      </w:pPr>
      <w:r w:rsidRPr="007C740F">
        <w:t xml:space="preserve">In the </w:t>
      </w:r>
      <w:r w:rsidR="00871319" w:rsidRPr="007C740F">
        <w:t>MGDb</w:t>
      </w:r>
      <w:r w:rsidR="00534234" w:rsidRPr="007C740F">
        <w:t>,</w:t>
      </w:r>
      <w:r w:rsidR="008A463D" w:rsidRPr="007C740F">
        <w:t xml:space="preserve"> </w:t>
      </w:r>
      <w:r w:rsidRPr="007C740F">
        <w:t xml:space="preserve">Western Europe is used as a </w:t>
      </w:r>
      <w:r w:rsidRPr="007C740F">
        <w:rPr>
          <w:i/>
        </w:rPr>
        <w:t xml:space="preserve">global reference region </w:t>
      </w:r>
      <w:r w:rsidR="003E0FF2" w:rsidRPr="007C740F">
        <w:t xml:space="preserve">because </w:t>
      </w:r>
      <w:r w:rsidRPr="007C740F">
        <w:t xml:space="preserve">most of the population has </w:t>
      </w:r>
      <w:r w:rsidR="00E64180" w:rsidRPr="007C740F">
        <w:t xml:space="preserve">equitable </w:t>
      </w:r>
      <w:r w:rsidR="00CE48DD" w:rsidRPr="007C740F">
        <w:t>access to services</w:t>
      </w:r>
      <w:r w:rsidRPr="007C740F">
        <w:t xml:space="preserve"> </w:t>
      </w:r>
      <w:r w:rsidR="00413005" w:rsidRPr="007C740F">
        <w:t>and</w:t>
      </w:r>
      <w:r w:rsidR="00E25582" w:rsidRPr="007C740F">
        <w:t xml:space="preserve"> </w:t>
      </w:r>
      <w:r w:rsidRPr="007C740F">
        <w:t xml:space="preserve">outcomes </w:t>
      </w:r>
      <w:r w:rsidR="00413005" w:rsidRPr="007C740F">
        <w:t xml:space="preserve">are </w:t>
      </w:r>
      <w:r w:rsidR="00282839" w:rsidRPr="007C740F">
        <w:t>recorded through congenital anomaly registries</w:t>
      </w:r>
      <w:r w:rsidR="00E25582" w:rsidRPr="007C740F">
        <w:t xml:space="preserve"> and targeted research studies</w:t>
      </w:r>
      <w:r w:rsidR="00413005" w:rsidRPr="007C740F">
        <w:t xml:space="preserve">. </w:t>
      </w:r>
      <w:r w:rsidR="00E73A3E" w:rsidRPr="007C740F">
        <w:t>Outcome e</w:t>
      </w:r>
      <w:r w:rsidRPr="007C740F">
        <w:t xml:space="preserve">stimates for this </w:t>
      </w:r>
      <w:r w:rsidR="00E64180" w:rsidRPr="007C740F">
        <w:t xml:space="preserve">reference </w:t>
      </w:r>
      <w:r w:rsidRPr="007C740F">
        <w:t xml:space="preserve">region </w:t>
      </w:r>
      <w:r w:rsidR="003E0FF2" w:rsidRPr="007C740F">
        <w:t xml:space="preserve">are </w:t>
      </w:r>
      <w:r w:rsidR="004471F3" w:rsidRPr="007C740F">
        <w:t xml:space="preserve">therefore </w:t>
      </w:r>
      <w:r w:rsidR="003E0FF2" w:rsidRPr="007C740F">
        <w:t>strongly evidence-based</w:t>
      </w:r>
      <w:r w:rsidR="00576A24" w:rsidRPr="007C740F">
        <w:t xml:space="preserve"> and </w:t>
      </w:r>
      <w:r w:rsidR="003E0FF2" w:rsidRPr="007C740F">
        <w:t xml:space="preserve">may be taken </w:t>
      </w:r>
      <w:r w:rsidR="00817F51" w:rsidRPr="007C740F">
        <w:t xml:space="preserve">to </w:t>
      </w:r>
      <w:r w:rsidR="004471F3" w:rsidRPr="007C740F">
        <w:t xml:space="preserve">represent the effect of </w:t>
      </w:r>
      <w:r w:rsidR="004B097B" w:rsidRPr="007C740F">
        <w:t xml:space="preserve">100% </w:t>
      </w:r>
      <w:r w:rsidR="00CE48DD" w:rsidRPr="007C740F">
        <w:t>access to services</w:t>
      </w:r>
      <w:r w:rsidR="004471F3" w:rsidRPr="007C740F">
        <w:t xml:space="preserve"> at the population level</w:t>
      </w:r>
      <w:r w:rsidR="00576A24" w:rsidRPr="007C740F">
        <w:t xml:space="preserve">. </w:t>
      </w:r>
      <w:r w:rsidR="0011313D" w:rsidRPr="007C740F">
        <w:t>That is, they represent</w:t>
      </w:r>
      <w:r w:rsidRPr="007C740F">
        <w:t xml:space="preserve"> </w:t>
      </w:r>
      <w:r w:rsidR="00282839" w:rsidRPr="007C740F">
        <w:t>the “power” of available interventions when fully deployed.</w:t>
      </w:r>
      <w:r w:rsidR="004471F3" w:rsidRPr="007C740F">
        <w:rPr>
          <w:rStyle w:val="FootnoteReference"/>
        </w:rPr>
        <w:footnoteReference w:id="13"/>
      </w:r>
    </w:p>
    <w:p w14:paraId="1BF826A5" w14:textId="77777777" w:rsidR="006F7752" w:rsidRPr="007C740F" w:rsidRDefault="006F7752" w:rsidP="005E3E59">
      <w:pPr>
        <w:pStyle w:val="Heading2"/>
      </w:pPr>
      <w:bookmarkStart w:id="15" w:name="_Toc193659667"/>
      <w:r w:rsidRPr="007C740F">
        <w:t>Achieving country-specific estimates</w:t>
      </w:r>
      <w:r w:rsidR="00DD39FA" w:rsidRPr="007C740F">
        <w:t xml:space="preserve"> of outcomes</w:t>
      </w:r>
      <w:bookmarkEnd w:id="15"/>
    </w:p>
    <w:p w14:paraId="19EF5498" w14:textId="17BA49CB" w:rsidR="00A90D86" w:rsidRPr="007C740F" w:rsidRDefault="006F7752" w:rsidP="001F6D1C">
      <w:pPr>
        <w:pStyle w:val="BodyText1"/>
        <w:jc w:val="both"/>
      </w:pPr>
      <w:r w:rsidRPr="007C740F">
        <w:t xml:space="preserve">It is assumed that </w:t>
      </w:r>
      <w:r w:rsidR="00C42DAA" w:rsidRPr="007C740F">
        <w:t xml:space="preserve">most </w:t>
      </w:r>
      <w:r w:rsidRPr="007C740F">
        <w:t xml:space="preserve">outcomes </w:t>
      </w:r>
      <w:r w:rsidR="00C42DAA" w:rsidRPr="007C740F">
        <w:t xml:space="preserve">in </w:t>
      </w:r>
      <w:r w:rsidRPr="007C740F">
        <w:t xml:space="preserve">high income </w:t>
      </w:r>
      <w:r w:rsidR="00C42DAA" w:rsidRPr="007C740F">
        <w:t xml:space="preserve">countries </w:t>
      </w:r>
      <w:r w:rsidRPr="007C740F">
        <w:t xml:space="preserve">will be close to those estimated for </w:t>
      </w:r>
      <w:r w:rsidR="0011313D" w:rsidRPr="007C740F">
        <w:t xml:space="preserve">100% </w:t>
      </w:r>
      <w:r w:rsidR="00CE48DD" w:rsidRPr="007C740F">
        <w:t>access to services</w:t>
      </w:r>
      <w:r w:rsidRPr="007C740F">
        <w:t xml:space="preserve">, while outcomes in </w:t>
      </w:r>
      <w:r w:rsidR="00B415AF" w:rsidRPr="007C740F">
        <w:t>very low</w:t>
      </w:r>
      <w:r w:rsidR="00C31381" w:rsidRPr="007C740F">
        <w:t>-</w:t>
      </w:r>
      <w:r w:rsidRPr="007C740F">
        <w:t>income settings will be close to those in the no-care situation. Estimates for countries that lie between these two extremes are obtained by (a) estimating the proportion of the population with access to relevant services</w:t>
      </w:r>
      <w:r w:rsidR="00B415AF" w:rsidRPr="007C740F">
        <w:t>,</w:t>
      </w:r>
      <w:r w:rsidRPr="007C740F">
        <w:t xml:space="preserve"> </w:t>
      </w:r>
      <w:r w:rsidR="00A90D86" w:rsidRPr="007C740F">
        <w:t>using infant mortality as an indicator</w:t>
      </w:r>
      <w:r w:rsidR="00081CAD" w:rsidRPr="007C740F">
        <w:t>,</w:t>
      </w:r>
      <w:r w:rsidR="00A90D86" w:rsidRPr="007C740F">
        <w:t xml:space="preserve"> </w:t>
      </w:r>
      <w:r w:rsidRPr="007C740F">
        <w:t xml:space="preserve">and (b) relating the result to outcomes with </w:t>
      </w:r>
      <w:r w:rsidR="0011313D" w:rsidRPr="007C740F">
        <w:t xml:space="preserve">no care and </w:t>
      </w:r>
      <w:r w:rsidR="004B097B" w:rsidRPr="007C740F">
        <w:t xml:space="preserve">100% </w:t>
      </w:r>
      <w:r w:rsidR="00CE48DD" w:rsidRPr="007C740F">
        <w:t>access to services</w:t>
      </w:r>
      <w:r w:rsidR="0011313D" w:rsidRPr="007C740F">
        <w:t>.</w:t>
      </w:r>
      <w:r w:rsidRPr="007C740F">
        <w:t xml:space="preserve"> The resulting rates are then applied to W</w:t>
      </w:r>
      <w:r w:rsidR="00081CAD" w:rsidRPr="007C740F">
        <w:t xml:space="preserve">orld </w:t>
      </w:r>
      <w:r w:rsidRPr="007C740F">
        <w:t>P</w:t>
      </w:r>
      <w:r w:rsidR="00081CAD" w:rsidRPr="007C740F">
        <w:t xml:space="preserve">opulation </w:t>
      </w:r>
      <w:r w:rsidRPr="007C740F">
        <w:t>P</w:t>
      </w:r>
      <w:r w:rsidR="00081CAD" w:rsidRPr="007C740F">
        <w:t>rospects (WPP)</w:t>
      </w:r>
      <w:r w:rsidRPr="007C740F">
        <w:t xml:space="preserve"> country-specific demographic data to estimate annual affected births and early deaths, survivors cured or living with disability, past and present numbers of living patients, and potential future effects of policy changes.</w:t>
      </w:r>
    </w:p>
    <w:p w14:paraId="0D8D1E18" w14:textId="77774872" w:rsidR="006F7752" w:rsidRPr="007C740F" w:rsidRDefault="00207DAB" w:rsidP="001F6D1C">
      <w:pPr>
        <w:pStyle w:val="BodyText1"/>
        <w:jc w:val="both"/>
      </w:pPr>
      <w:r w:rsidRPr="007C740F">
        <w:t>So that the estimates may be used with confidence in policy-making, g</w:t>
      </w:r>
      <w:r w:rsidR="00C42DAA" w:rsidRPr="007C740F">
        <w:t>reat care is taken throughout to avoid over-estimation</w:t>
      </w:r>
      <w:r w:rsidRPr="007C740F">
        <w:t>.</w:t>
      </w:r>
    </w:p>
    <w:p w14:paraId="79C82E25" w14:textId="0A0618BB" w:rsidR="006F7752" w:rsidRPr="007C740F" w:rsidRDefault="006F7752" w:rsidP="001F6D1C">
      <w:pPr>
        <w:pStyle w:val="BodyText1"/>
        <w:jc w:val="both"/>
      </w:pPr>
      <w:r w:rsidRPr="007C740F">
        <w:t xml:space="preserve">There is </w:t>
      </w:r>
      <w:r w:rsidR="003037C6" w:rsidRPr="007C740F">
        <w:t xml:space="preserve">considerable </w:t>
      </w:r>
      <w:r w:rsidR="00DD5360" w:rsidRPr="007C740F">
        <w:t>uncertainty in the assessment of outcomes</w:t>
      </w:r>
      <w:r w:rsidR="003E0FF2" w:rsidRPr="007C740F">
        <w:t xml:space="preserve"> </w:t>
      </w:r>
      <w:r w:rsidR="003037C6" w:rsidRPr="007C740F">
        <w:t xml:space="preserve">because </w:t>
      </w:r>
      <w:r w:rsidR="0011313D" w:rsidRPr="007C740F">
        <w:t>estimates are only as accurate as the input data permit</w:t>
      </w:r>
      <w:r w:rsidR="00DD5360" w:rsidRPr="007C740F">
        <w:t xml:space="preserve">. </w:t>
      </w:r>
      <w:r w:rsidR="003037C6" w:rsidRPr="007C740F">
        <w:t>For example</w:t>
      </w:r>
      <w:r w:rsidR="006F5745" w:rsidRPr="007C740F">
        <w:t>,</w:t>
      </w:r>
      <w:r w:rsidR="003037C6" w:rsidRPr="007C740F">
        <w:t xml:space="preserve"> t</w:t>
      </w:r>
      <w:r w:rsidR="00DD5360" w:rsidRPr="007C740F">
        <w:t xml:space="preserve">here is </w:t>
      </w:r>
      <w:r w:rsidR="003E0FF2" w:rsidRPr="007C740F">
        <w:t xml:space="preserve">probably </w:t>
      </w:r>
      <w:r w:rsidRPr="007C740F">
        <w:t xml:space="preserve">under-estimation of termination of pregnancy, and of current survival </w:t>
      </w:r>
      <w:r w:rsidR="003E0FF2" w:rsidRPr="007C740F">
        <w:t xml:space="preserve">in high income settings because survival </w:t>
      </w:r>
      <w:r w:rsidR="00DD5360" w:rsidRPr="007C740F">
        <w:t xml:space="preserve">studies </w:t>
      </w:r>
      <w:r w:rsidR="00B472DD" w:rsidRPr="007C740F">
        <w:t xml:space="preserve">inevitably </w:t>
      </w:r>
      <w:r w:rsidR="00DD5360" w:rsidRPr="007C740F">
        <w:t xml:space="preserve">lag behind current practice. </w:t>
      </w:r>
      <w:r w:rsidR="00B472DD" w:rsidRPr="007C740F">
        <w:t>S</w:t>
      </w:r>
      <w:r w:rsidR="00DD5360" w:rsidRPr="007C740F">
        <w:t xml:space="preserve">uch errors </w:t>
      </w:r>
      <w:r w:rsidR="00C42DAA" w:rsidRPr="007C740F">
        <w:t>would</w:t>
      </w:r>
      <w:r w:rsidR="00DD5360" w:rsidRPr="007C740F">
        <w:t xml:space="preserve"> lead to </w:t>
      </w:r>
      <w:r w:rsidRPr="007C740F">
        <w:t xml:space="preserve">over-estimation of </w:t>
      </w:r>
      <w:r w:rsidR="00DD5360" w:rsidRPr="007C740F">
        <w:t xml:space="preserve">early </w:t>
      </w:r>
      <w:r w:rsidRPr="007C740F">
        <w:t xml:space="preserve">mortality </w:t>
      </w:r>
      <w:r w:rsidR="00DD5360" w:rsidRPr="007C740F">
        <w:t xml:space="preserve">and under-estimation of </w:t>
      </w:r>
      <w:r w:rsidR="00C42DAA" w:rsidRPr="007C740F">
        <w:t xml:space="preserve">survival with </w:t>
      </w:r>
      <w:r w:rsidR="00DD5360" w:rsidRPr="007C740F">
        <w:t>disability</w:t>
      </w:r>
      <w:r w:rsidR="00C42DAA" w:rsidRPr="007C740F">
        <w:t xml:space="preserve"> or cure</w:t>
      </w:r>
      <w:r w:rsidR="00DD5360" w:rsidRPr="007C740F">
        <w:t xml:space="preserve">. </w:t>
      </w:r>
      <w:r w:rsidR="00B472DD" w:rsidRPr="007C740F">
        <w:t>However</w:t>
      </w:r>
      <w:r w:rsidR="00B5502B" w:rsidRPr="007C740F">
        <w:t>,</w:t>
      </w:r>
      <w:r w:rsidR="00B472DD" w:rsidRPr="007C740F">
        <w:t xml:space="preserve"> the effect on total adverse outcomes is limited because an error in estimating one outcome simply shifts cases into other outcomes within the same envelope. </w:t>
      </w:r>
    </w:p>
    <w:p w14:paraId="0F9F40D3" w14:textId="77777777" w:rsidR="00D00167" w:rsidRPr="007C740F" w:rsidRDefault="00D00167" w:rsidP="00D00167">
      <w:pPr>
        <w:pStyle w:val="Heading2"/>
      </w:pPr>
      <w:bookmarkStart w:id="16" w:name="_Toc193659668"/>
      <w:r w:rsidRPr="007C740F">
        <w:t xml:space="preserve">Instruments </w:t>
      </w:r>
      <w:r w:rsidR="00CC0C4F" w:rsidRPr="007C740F">
        <w:t xml:space="preserve">and resources </w:t>
      </w:r>
      <w:r w:rsidR="00BF2E8C" w:rsidRPr="007C740F">
        <w:t>developed</w:t>
      </w:r>
      <w:r w:rsidR="00CC0C4F" w:rsidRPr="007C740F">
        <w:t xml:space="preserve"> </w:t>
      </w:r>
      <w:r w:rsidRPr="007C740F">
        <w:t xml:space="preserve">to </w:t>
      </w:r>
      <w:r w:rsidR="00CC0C4F" w:rsidRPr="007C740F">
        <w:t xml:space="preserve">enable </w:t>
      </w:r>
      <w:r w:rsidRPr="007C740F">
        <w:t>production of estimates</w:t>
      </w:r>
      <w:bookmarkEnd w:id="16"/>
    </w:p>
    <w:p w14:paraId="6B868A09" w14:textId="58E24922" w:rsidR="0053245C" w:rsidRPr="007C740F" w:rsidRDefault="0053245C" w:rsidP="001F6D1C">
      <w:pPr>
        <w:pStyle w:val="BodyText1"/>
        <w:jc w:val="both"/>
      </w:pPr>
      <w:r w:rsidRPr="007C740F">
        <w:t xml:space="preserve">The aims of the </w:t>
      </w:r>
      <w:r w:rsidR="00871319" w:rsidRPr="007C740F">
        <w:t>MGDb</w:t>
      </w:r>
      <w:r w:rsidRPr="007C740F">
        <w:t xml:space="preserve"> are (a) to provide </w:t>
      </w:r>
      <w:r w:rsidR="0011313D" w:rsidRPr="007C740F">
        <w:t xml:space="preserve">country-specific </w:t>
      </w:r>
      <w:r w:rsidRPr="007C740F">
        <w:t xml:space="preserve">order-of magnitude estimates that can be used to support policy-making when there is </w:t>
      </w:r>
      <w:r w:rsidR="0011313D" w:rsidRPr="007C740F">
        <w:t xml:space="preserve">a shortage of </w:t>
      </w:r>
      <w:r w:rsidRPr="007C740F">
        <w:t>observational data and (b) to encourage local public health officials, policy makers and their expert advisors to generate their own estimates for comparison. These aims generate the following general rules.</w:t>
      </w:r>
    </w:p>
    <w:p w14:paraId="236A5BA1" w14:textId="77777777" w:rsidR="0053245C" w:rsidRPr="007C740F" w:rsidRDefault="0053245C" w:rsidP="0053245C">
      <w:pPr>
        <w:pStyle w:val="BodyText1"/>
        <w:numPr>
          <w:ilvl w:val="0"/>
          <w:numId w:val="27"/>
        </w:numPr>
      </w:pPr>
      <w:r w:rsidRPr="007C740F">
        <w:t>The method used must be as simple and reproducible as possible.</w:t>
      </w:r>
    </w:p>
    <w:p w14:paraId="4249F9BE" w14:textId="0C237514" w:rsidR="0053245C" w:rsidRPr="007C740F" w:rsidRDefault="0053245C" w:rsidP="0053245C">
      <w:pPr>
        <w:pStyle w:val="BodyText1"/>
        <w:numPr>
          <w:ilvl w:val="0"/>
          <w:numId w:val="27"/>
        </w:numPr>
      </w:pPr>
      <w:r w:rsidRPr="007C740F">
        <w:t>It should depend on data sources that are as few and as authoritative as possible</w:t>
      </w:r>
      <w:r w:rsidR="00207DAB" w:rsidRPr="007C740F">
        <w:t xml:space="preserve"> and </w:t>
      </w:r>
      <w:r w:rsidRPr="007C740F">
        <w:t>ideally web-based – i.e. it should build on comprehensive datasets assembled by others.</w:t>
      </w:r>
      <w:r w:rsidRPr="007C740F">
        <w:rPr>
          <w:rStyle w:val="FootnoteReference"/>
        </w:rPr>
        <w:footnoteReference w:id="14"/>
      </w:r>
    </w:p>
    <w:p w14:paraId="2AFEC817" w14:textId="7DB40484" w:rsidR="0053245C" w:rsidRPr="007C740F" w:rsidRDefault="0053245C" w:rsidP="0053245C">
      <w:pPr>
        <w:pStyle w:val="BodyText1"/>
        <w:numPr>
          <w:ilvl w:val="0"/>
          <w:numId w:val="27"/>
        </w:numPr>
      </w:pPr>
      <w:r w:rsidRPr="007C740F">
        <w:lastRenderedPageBreak/>
        <w:t>Key target groups (public health and primary care) are concerned primarily with bundles of care rather than single issues. Therefore</w:t>
      </w:r>
      <w:r w:rsidR="003B3A94" w:rsidRPr="007C740F">
        <w:t>,</w:t>
      </w:r>
      <w:r w:rsidRPr="007C740F">
        <w:t xml:space="preserve"> the numerous</w:t>
      </w:r>
      <w:r w:rsidR="003B3A94" w:rsidRPr="007C740F">
        <w:t>,</w:t>
      </w:r>
      <w:r w:rsidRPr="007C740F">
        <w:t xml:space="preserve"> mostly rare congenital disorders</w:t>
      </w:r>
      <w:r w:rsidR="003B3A94" w:rsidRPr="007C740F">
        <w:t>,</w:t>
      </w:r>
      <w:r w:rsidRPr="007C740F">
        <w:t xml:space="preserve"> must be aggregated into manageable groups </w:t>
      </w:r>
      <w:r w:rsidR="00F413C0" w:rsidRPr="007C740F">
        <w:t>with similar clinical features</w:t>
      </w:r>
      <w:r w:rsidRPr="007C740F">
        <w:t xml:space="preserve">, </w:t>
      </w:r>
      <w:r w:rsidR="00ED2EEF" w:rsidRPr="007C740F">
        <w:t xml:space="preserve">and outcomes </w:t>
      </w:r>
      <w:r w:rsidR="00F413C0" w:rsidRPr="007C740F">
        <w:t xml:space="preserve">should be </w:t>
      </w:r>
      <w:r w:rsidR="00ED2EEF" w:rsidRPr="007C740F">
        <w:t xml:space="preserve">described in terms relevant to public health, such as effect of </w:t>
      </w:r>
      <w:r w:rsidRPr="007C740F">
        <w:t>interventions</w:t>
      </w:r>
      <w:r w:rsidR="00ED2EEF" w:rsidRPr="007C740F">
        <w:t xml:space="preserve"> on</w:t>
      </w:r>
      <w:r w:rsidRPr="007C740F">
        <w:t xml:space="preserve"> mortality, </w:t>
      </w:r>
      <w:r w:rsidR="00565182" w:rsidRPr="007C740F">
        <w:t>disability,</w:t>
      </w:r>
      <w:r w:rsidRPr="007C740F">
        <w:t xml:space="preserve"> and service need.</w:t>
      </w:r>
    </w:p>
    <w:p w14:paraId="0B4EDA93" w14:textId="0C3038EE" w:rsidR="00ED2EEF" w:rsidRPr="007C740F" w:rsidRDefault="003037C6" w:rsidP="0053245C">
      <w:pPr>
        <w:pStyle w:val="BodyText1"/>
        <w:numPr>
          <w:ilvl w:val="0"/>
          <w:numId w:val="27"/>
        </w:numPr>
      </w:pPr>
      <w:r w:rsidRPr="007C740F">
        <w:t>I</w:t>
      </w:r>
      <w:r w:rsidR="00ED2EEF" w:rsidRPr="007C740F">
        <w:t xml:space="preserve">t is not an option to omit an estimate because there are no data. </w:t>
      </w:r>
      <w:r w:rsidR="0053245C" w:rsidRPr="007C740F">
        <w:t xml:space="preserve">Since the aim is to produce global estimates, every </w:t>
      </w:r>
      <w:r w:rsidR="00ED2EEF" w:rsidRPr="007C740F">
        <w:t xml:space="preserve">cell in the database </w:t>
      </w:r>
      <w:r w:rsidR="0053245C" w:rsidRPr="007C740F">
        <w:t>m</w:t>
      </w:r>
      <w:r w:rsidR="00ED2EEF" w:rsidRPr="007C740F">
        <w:t xml:space="preserve">ust be filled for every country, </w:t>
      </w:r>
      <w:r w:rsidR="0053245C" w:rsidRPr="007C740F">
        <w:t xml:space="preserve">even (indeed especially) when no observational data are available. </w:t>
      </w:r>
      <w:r w:rsidR="00ED2EEF" w:rsidRPr="007C740F">
        <w:t>I</w:t>
      </w:r>
      <w:r w:rsidR="0053245C" w:rsidRPr="007C740F">
        <w:t xml:space="preserve">n </w:t>
      </w:r>
      <w:r w:rsidR="00F413C0" w:rsidRPr="007C740F">
        <w:t>such cases</w:t>
      </w:r>
      <w:r w:rsidR="0053245C" w:rsidRPr="007C740F">
        <w:t xml:space="preserve"> an estimate </w:t>
      </w:r>
      <w:r w:rsidR="00ED2EEF" w:rsidRPr="007C740F">
        <w:t xml:space="preserve">must be </w:t>
      </w:r>
      <w:r w:rsidR="00F413C0" w:rsidRPr="007C740F">
        <w:t xml:space="preserve">made </w:t>
      </w:r>
      <w:r w:rsidR="0053245C" w:rsidRPr="007C740F">
        <w:t>that is as evidence-based as reasonably possible.</w:t>
      </w:r>
      <w:r w:rsidR="0053245C" w:rsidRPr="007C740F">
        <w:rPr>
          <w:rStyle w:val="FootnoteReference"/>
        </w:rPr>
        <w:footnoteReference w:id="15"/>
      </w:r>
    </w:p>
    <w:p w14:paraId="6B23E010" w14:textId="1F364F58" w:rsidR="0053245C" w:rsidRPr="007C740F" w:rsidRDefault="00F413C0" w:rsidP="0053245C">
      <w:pPr>
        <w:pStyle w:val="BodyText1"/>
        <w:numPr>
          <w:ilvl w:val="0"/>
          <w:numId w:val="27"/>
        </w:numPr>
      </w:pPr>
      <w:r w:rsidRPr="007C740F">
        <w:t>For most countries t</w:t>
      </w:r>
      <w:r w:rsidR="0053245C" w:rsidRPr="007C740F">
        <w:t>he estimates generated can only be approximat</w:t>
      </w:r>
      <w:r w:rsidRPr="007C740F">
        <w:t>ions</w:t>
      </w:r>
      <w:r w:rsidR="0053245C" w:rsidRPr="007C740F">
        <w:t>.</w:t>
      </w:r>
    </w:p>
    <w:p w14:paraId="5A57BB86" w14:textId="48DAB58D" w:rsidR="00D00167" w:rsidRPr="007C740F" w:rsidRDefault="005E02ED" w:rsidP="008D27C2">
      <w:pPr>
        <w:pStyle w:val="BodyText1"/>
      </w:pPr>
      <w:r w:rsidRPr="007C740F">
        <w:t>The equations and standard tables listed below were developed while</w:t>
      </w:r>
      <w:r w:rsidR="006F7752" w:rsidRPr="007C740F">
        <w:t xml:space="preserve"> building the </w:t>
      </w:r>
      <w:r w:rsidR="00F413C0" w:rsidRPr="007C740F">
        <w:t>D</w:t>
      </w:r>
      <w:r w:rsidR="00D00167" w:rsidRPr="007C740F">
        <w:t>atabase</w:t>
      </w:r>
      <w:r w:rsidR="00F413C0" w:rsidRPr="007C740F">
        <w:t xml:space="preserve">. </w:t>
      </w:r>
      <w:r w:rsidR="005302BA" w:rsidRPr="007C740F">
        <w:t xml:space="preserve">These </w:t>
      </w:r>
      <w:r w:rsidR="00F413C0" w:rsidRPr="007C740F">
        <w:t xml:space="preserve">instruments </w:t>
      </w:r>
      <w:r w:rsidR="005302BA" w:rsidRPr="007C740F">
        <w:t xml:space="preserve">were made as simple as possible </w:t>
      </w:r>
      <w:r w:rsidR="00F413C0" w:rsidRPr="007C740F">
        <w:t xml:space="preserve">to </w:t>
      </w:r>
      <w:r w:rsidRPr="007C740F">
        <w:t xml:space="preserve">facilitate </w:t>
      </w:r>
      <w:r w:rsidR="00F413C0" w:rsidRPr="007C740F">
        <w:t>comparable</w:t>
      </w:r>
      <w:r w:rsidR="005302BA" w:rsidRPr="007C740F">
        <w:t xml:space="preserve"> epidemiological </w:t>
      </w:r>
      <w:r w:rsidR="006F7752" w:rsidRPr="007C740F">
        <w:t>assessment world-wide</w:t>
      </w:r>
      <w:r w:rsidR="00DF67F5" w:rsidRPr="007C740F">
        <w:t>.</w:t>
      </w:r>
    </w:p>
    <w:p w14:paraId="72C1EB4E" w14:textId="77777777" w:rsidR="006F7752" w:rsidRPr="007C740F" w:rsidRDefault="00D00167" w:rsidP="00B17284">
      <w:pPr>
        <w:pStyle w:val="Heading4"/>
      </w:pPr>
      <w:r w:rsidRPr="007C740F">
        <w:t>Equation</w:t>
      </w:r>
      <w:r w:rsidR="006F7752" w:rsidRPr="007C740F">
        <w:t>s for calculating</w:t>
      </w:r>
      <w:r w:rsidR="00E7673C" w:rsidRPr="007C740F">
        <w:t>:</w:t>
      </w:r>
    </w:p>
    <w:p w14:paraId="60D2D42D" w14:textId="61B43362" w:rsidR="00E47982" w:rsidRPr="007C740F" w:rsidRDefault="009679A1" w:rsidP="00E47982">
      <w:pPr>
        <w:pStyle w:val="BodyText1"/>
        <w:numPr>
          <w:ilvl w:val="1"/>
          <w:numId w:val="12"/>
        </w:numPr>
      </w:pPr>
      <w:r w:rsidRPr="007C740F">
        <w:t>T</w:t>
      </w:r>
      <w:r w:rsidR="00E47982" w:rsidRPr="007C740F">
        <w:t>he proportion of the population with access to specialist (secondary) services, based on infant mortality rate</w:t>
      </w:r>
      <w:r w:rsidR="00654288" w:rsidRPr="007C740F">
        <w:t>.</w:t>
      </w:r>
    </w:p>
    <w:p w14:paraId="146CF132" w14:textId="58E501B8" w:rsidR="006F7752" w:rsidRPr="007C740F" w:rsidRDefault="009679A1" w:rsidP="006F7752">
      <w:pPr>
        <w:pStyle w:val="BodyText1"/>
        <w:numPr>
          <w:ilvl w:val="1"/>
          <w:numId w:val="12"/>
        </w:numPr>
      </w:pPr>
      <w:r w:rsidRPr="007C740F">
        <w:t>T</w:t>
      </w:r>
      <w:r w:rsidR="00D00167" w:rsidRPr="007C740F">
        <w:t>he birth prev</w:t>
      </w:r>
      <w:r w:rsidR="00702306" w:rsidRPr="007C740F">
        <w:t xml:space="preserve">alence of </w:t>
      </w:r>
      <w:r w:rsidR="003037C6" w:rsidRPr="007C740F">
        <w:t>Down syndrome and other trisomies</w:t>
      </w:r>
      <w:r w:rsidR="00E47982" w:rsidRPr="007C740F">
        <w:t xml:space="preserve">: </w:t>
      </w:r>
      <w:r w:rsidR="00D00167" w:rsidRPr="007C740F">
        <w:t xml:space="preserve">from the </w:t>
      </w:r>
      <w:r w:rsidR="00E47982" w:rsidRPr="007C740F">
        <w:t xml:space="preserve">per cent </w:t>
      </w:r>
      <w:r w:rsidR="00D00167" w:rsidRPr="007C740F">
        <w:t xml:space="preserve">of mothers </w:t>
      </w:r>
      <w:r w:rsidR="00E47982" w:rsidRPr="007C740F">
        <w:t xml:space="preserve">aged </w:t>
      </w:r>
      <w:r w:rsidR="00D00167" w:rsidRPr="007C740F">
        <w:t xml:space="preserve">35 </w:t>
      </w:r>
      <w:r w:rsidR="00E47982" w:rsidRPr="007C740F">
        <w:t>or over</w:t>
      </w:r>
      <w:r w:rsidR="00654288" w:rsidRPr="007C740F">
        <w:t>.</w:t>
      </w:r>
    </w:p>
    <w:p w14:paraId="326DC755" w14:textId="647FDDE9" w:rsidR="006F7752" w:rsidRPr="007C740F" w:rsidRDefault="009679A1" w:rsidP="006F7752">
      <w:pPr>
        <w:pStyle w:val="BodyText1"/>
        <w:numPr>
          <w:ilvl w:val="1"/>
          <w:numId w:val="12"/>
        </w:numPr>
      </w:pPr>
      <w:r w:rsidRPr="007C740F">
        <w:t>T</w:t>
      </w:r>
      <w:r w:rsidR="00C6744F" w:rsidRPr="007C740F">
        <w:t xml:space="preserve">he </w:t>
      </w:r>
      <w:r w:rsidR="00A22CB6" w:rsidRPr="007C740F">
        <w:t>effect of parental consanguinity on the collective birth prevalence of recessive disorders</w:t>
      </w:r>
      <w:r w:rsidR="00654288" w:rsidRPr="007C740F">
        <w:t>.</w:t>
      </w:r>
    </w:p>
    <w:p w14:paraId="3884DC40" w14:textId="18712D55" w:rsidR="00DA1479" w:rsidRPr="007C740F" w:rsidRDefault="009679A1" w:rsidP="006F7752">
      <w:pPr>
        <w:pStyle w:val="BodyText1"/>
        <w:numPr>
          <w:ilvl w:val="1"/>
          <w:numId w:val="12"/>
        </w:numPr>
      </w:pPr>
      <w:r w:rsidRPr="007C740F">
        <w:t>T</w:t>
      </w:r>
      <w:r w:rsidR="006F7752" w:rsidRPr="007C740F">
        <w:t xml:space="preserve">he </w:t>
      </w:r>
      <w:r w:rsidR="00C6744F" w:rsidRPr="007C740F">
        <w:t xml:space="preserve">potential </w:t>
      </w:r>
      <w:r w:rsidR="00DA1479" w:rsidRPr="007C740F">
        <w:t xml:space="preserve">effect of genetic counselling on </w:t>
      </w:r>
      <w:r w:rsidR="006F7752" w:rsidRPr="007C740F">
        <w:t xml:space="preserve">the </w:t>
      </w:r>
      <w:r w:rsidR="00DA1479" w:rsidRPr="007C740F">
        <w:t>birth prev</w:t>
      </w:r>
      <w:r w:rsidR="006F7752" w:rsidRPr="007C740F">
        <w:t>alence of single gene disorders</w:t>
      </w:r>
      <w:r w:rsidR="00654288" w:rsidRPr="007C740F">
        <w:t>.</w:t>
      </w:r>
    </w:p>
    <w:p w14:paraId="5C024AF4" w14:textId="48E4C8C1" w:rsidR="0079101D" w:rsidRPr="007C740F" w:rsidRDefault="009679A1" w:rsidP="006F7752">
      <w:pPr>
        <w:pStyle w:val="BodyText1"/>
        <w:numPr>
          <w:ilvl w:val="1"/>
          <w:numId w:val="12"/>
        </w:numPr>
      </w:pPr>
      <w:r w:rsidRPr="007C740F">
        <w:t>T</w:t>
      </w:r>
      <w:r w:rsidR="0079101D" w:rsidRPr="007C740F">
        <w:t xml:space="preserve">he effect of folic acid food fortification on the birth prevalence of </w:t>
      </w:r>
      <w:r w:rsidR="006F7752" w:rsidRPr="007C740F">
        <w:t>folate-sensitive congenital malformations</w:t>
      </w:r>
      <w:r w:rsidR="00654288" w:rsidRPr="007C740F">
        <w:t>.</w:t>
      </w:r>
    </w:p>
    <w:p w14:paraId="7B028563" w14:textId="77777777" w:rsidR="006F7752" w:rsidRPr="007C740F" w:rsidRDefault="00C6744F" w:rsidP="00B17284">
      <w:pPr>
        <w:pStyle w:val="Heading4"/>
      </w:pPr>
      <w:r w:rsidRPr="007C740F">
        <w:t>Generally-applicable t</w:t>
      </w:r>
      <w:r w:rsidR="00DA1479" w:rsidRPr="007C740F">
        <w:t>able</w:t>
      </w:r>
      <w:r w:rsidR="006F7752" w:rsidRPr="007C740F">
        <w:t>s</w:t>
      </w:r>
      <w:r w:rsidR="00DA1479" w:rsidRPr="007C740F">
        <w:t xml:space="preserve"> of</w:t>
      </w:r>
      <w:r w:rsidR="006F7752" w:rsidRPr="007C740F">
        <w:t>:</w:t>
      </w:r>
    </w:p>
    <w:p w14:paraId="2AC433FB" w14:textId="0BF67AC5" w:rsidR="00DA1479" w:rsidRPr="007C740F" w:rsidRDefault="00B53580" w:rsidP="006F7752">
      <w:pPr>
        <w:pStyle w:val="BodyText1"/>
        <w:numPr>
          <w:ilvl w:val="1"/>
          <w:numId w:val="12"/>
        </w:numPr>
      </w:pPr>
      <w:r w:rsidRPr="007C740F">
        <w:t>B</w:t>
      </w:r>
      <w:r w:rsidR="00DA1479" w:rsidRPr="007C740F">
        <w:t>aseline birth prevalences of isolated congenital malformations (other than neural tube defects and oro-facial clefts) and rare</w:t>
      </w:r>
      <w:r w:rsidRPr="007C740F">
        <w:t>,</w:t>
      </w:r>
      <w:r w:rsidR="00DA1479" w:rsidRPr="007C740F">
        <w:t xml:space="preserve"> early-onset single gene disorders</w:t>
      </w:r>
      <w:r w:rsidR="00654288" w:rsidRPr="007C740F">
        <w:t>.</w:t>
      </w:r>
    </w:p>
    <w:p w14:paraId="440AF854" w14:textId="35A11EE7" w:rsidR="00C6744F" w:rsidRPr="007C740F" w:rsidRDefault="00B53580" w:rsidP="00C6744F">
      <w:pPr>
        <w:pStyle w:val="BodyText1"/>
        <w:numPr>
          <w:ilvl w:val="1"/>
          <w:numId w:val="12"/>
        </w:numPr>
      </w:pPr>
      <w:r w:rsidRPr="007C740F">
        <w:t>P</w:t>
      </w:r>
      <w:r w:rsidR="00C6744F" w:rsidRPr="007C740F">
        <w:t xml:space="preserve">er cent survival and estimated mean life expectancy in the absence of care and with </w:t>
      </w:r>
      <w:r w:rsidR="004B097B" w:rsidRPr="007C740F">
        <w:t xml:space="preserve">100% </w:t>
      </w:r>
      <w:r w:rsidR="00CE48DD" w:rsidRPr="007C740F">
        <w:t>access to services</w:t>
      </w:r>
      <w:r w:rsidR="00C6744F" w:rsidRPr="007C740F">
        <w:t>, by disorder group</w:t>
      </w:r>
      <w:r w:rsidR="00654288" w:rsidRPr="007C740F">
        <w:t>.</w:t>
      </w:r>
    </w:p>
    <w:p w14:paraId="73E587AD" w14:textId="2E306CF2" w:rsidR="00C6744F" w:rsidRPr="007C740F" w:rsidRDefault="008A2AE1" w:rsidP="00C6744F">
      <w:pPr>
        <w:pStyle w:val="BodyText1"/>
        <w:numPr>
          <w:ilvl w:val="1"/>
          <w:numId w:val="12"/>
        </w:numPr>
      </w:pPr>
      <w:r w:rsidRPr="007C740F">
        <w:t xml:space="preserve">EUROCAT and ICBDSR rates for termination of pregnancy for congenital anomalies. </w:t>
      </w:r>
      <w:r w:rsidR="0033433C" w:rsidRPr="007C740F">
        <w:t xml:space="preserve">These are used </w:t>
      </w:r>
      <w:r w:rsidR="00C6744F" w:rsidRPr="007C740F">
        <w:t>in estimating the effect of access to prenatal diagnosis</w:t>
      </w:r>
      <w:r w:rsidR="0033433C" w:rsidRPr="007C740F">
        <w:t xml:space="preserve">, </w:t>
      </w:r>
      <w:r w:rsidR="00C6744F" w:rsidRPr="007C740F">
        <w:t>taking account of reported legality termination of pregnancy for fetal impairment</w:t>
      </w:r>
      <w:r w:rsidR="005E02ED" w:rsidRPr="007C740F">
        <w:t xml:space="preserve"> and (as far as possible) other factors influencing this choice</w:t>
      </w:r>
      <w:r w:rsidR="00C6744F" w:rsidRPr="007C740F">
        <w:t>.</w:t>
      </w:r>
    </w:p>
    <w:p w14:paraId="4792FDE5" w14:textId="77777777" w:rsidR="00C6744F" w:rsidRPr="007C740F" w:rsidRDefault="00C6744F" w:rsidP="00E7673C">
      <w:pPr>
        <w:pStyle w:val="Heading4"/>
      </w:pPr>
      <w:r w:rsidRPr="007C740F">
        <w:t>Country-specific tables of:</w:t>
      </w:r>
    </w:p>
    <w:p w14:paraId="6D231261" w14:textId="128E0046" w:rsidR="00C6744F" w:rsidRPr="007C740F" w:rsidRDefault="004906E3" w:rsidP="006F7752">
      <w:pPr>
        <w:pStyle w:val="BodyText1"/>
        <w:numPr>
          <w:ilvl w:val="1"/>
          <w:numId w:val="12"/>
        </w:numPr>
      </w:pPr>
      <w:r w:rsidRPr="007C740F">
        <w:t>B</w:t>
      </w:r>
      <w:r w:rsidR="00C6744F" w:rsidRPr="007C740F">
        <w:t>aseline birth prevalence of neural tube defects and oro-facial clefts</w:t>
      </w:r>
      <w:r w:rsidR="00E47982" w:rsidRPr="007C740F">
        <w:t xml:space="preserve"> (before folic acid food fortification)</w:t>
      </w:r>
      <w:r w:rsidR="00654288" w:rsidRPr="007C740F">
        <w:t>.</w:t>
      </w:r>
    </w:p>
    <w:p w14:paraId="75850B6C" w14:textId="6CAD4A4E" w:rsidR="00C6744F" w:rsidRPr="007C740F" w:rsidRDefault="004906E3" w:rsidP="006F7752">
      <w:pPr>
        <w:pStyle w:val="BodyText1"/>
        <w:numPr>
          <w:ilvl w:val="1"/>
          <w:numId w:val="12"/>
        </w:numPr>
      </w:pPr>
      <w:r w:rsidRPr="007C740F">
        <w:lastRenderedPageBreak/>
        <w:t>P</w:t>
      </w:r>
      <w:r w:rsidR="00C6744F" w:rsidRPr="007C740F">
        <w:t xml:space="preserve">revalence of parental consanguinity, expressed </w:t>
      </w:r>
      <w:r w:rsidR="00654288" w:rsidRPr="007C740F">
        <w:t>as coefficient of consanguinity.</w:t>
      </w:r>
    </w:p>
    <w:p w14:paraId="31A669FD" w14:textId="77777777" w:rsidR="008A2AE1" w:rsidRPr="007C740F" w:rsidRDefault="008C634B" w:rsidP="006F7752">
      <w:pPr>
        <w:pStyle w:val="BodyText1"/>
        <w:numPr>
          <w:ilvl w:val="1"/>
          <w:numId w:val="12"/>
        </w:numPr>
      </w:pPr>
      <w:r w:rsidRPr="007C740F">
        <w:t>B</w:t>
      </w:r>
      <w:r w:rsidR="006F7752" w:rsidRPr="007C740F">
        <w:t>aseline birth prevalence of haemoglobin disorders</w:t>
      </w:r>
      <w:r w:rsidR="008A2AE1" w:rsidRPr="007C740F">
        <w:t>.</w:t>
      </w:r>
    </w:p>
    <w:p w14:paraId="0C141590" w14:textId="441479AB" w:rsidR="006F7752" w:rsidRPr="007C740F" w:rsidRDefault="008A2AE1" w:rsidP="006F7752">
      <w:pPr>
        <w:pStyle w:val="BodyText1"/>
        <w:numPr>
          <w:ilvl w:val="1"/>
          <w:numId w:val="12"/>
        </w:numPr>
      </w:pPr>
      <w:r w:rsidRPr="007C740F">
        <w:t xml:space="preserve">Risk of </w:t>
      </w:r>
      <w:r w:rsidR="006F7752" w:rsidRPr="007C740F">
        <w:t xml:space="preserve">rhesus haemolytic disease of the newborn, </w:t>
      </w:r>
      <w:r w:rsidR="00C6744F" w:rsidRPr="007C740F">
        <w:t xml:space="preserve">and </w:t>
      </w:r>
      <w:r w:rsidRPr="007C740F">
        <w:t xml:space="preserve">of </w:t>
      </w:r>
      <w:r w:rsidR="006F7752" w:rsidRPr="007C740F">
        <w:t>G6PD deficiency</w:t>
      </w:r>
      <w:r w:rsidRPr="007C740F">
        <w:t xml:space="preserve"> neonatal jaundice</w:t>
      </w:r>
      <w:r w:rsidR="00C6744F" w:rsidRPr="007C740F">
        <w:t>.</w:t>
      </w:r>
    </w:p>
    <w:p w14:paraId="463EC5B3" w14:textId="608C6298" w:rsidR="00DF67F5" w:rsidRPr="007C740F" w:rsidRDefault="00DF67F5" w:rsidP="00DF67F5">
      <w:pPr>
        <w:pStyle w:val="BodyText1"/>
      </w:pPr>
      <w:bookmarkStart w:id="17" w:name="_Toc473076865"/>
      <w:r w:rsidRPr="007C740F">
        <w:t>The development and use of each instrument is fully described in th</w:t>
      </w:r>
      <w:r w:rsidR="005E02ED" w:rsidRPr="007C740F">
        <w:t>e relevant article</w:t>
      </w:r>
      <w:r w:rsidR="008A2AE1" w:rsidRPr="007C740F">
        <w:t>s</w:t>
      </w:r>
      <w:r w:rsidR="005E02ED" w:rsidRPr="007C740F">
        <w:t xml:space="preserve"> in this </w:t>
      </w:r>
      <w:r w:rsidRPr="007C740F">
        <w:t>series.</w:t>
      </w:r>
    </w:p>
    <w:p w14:paraId="04780A83" w14:textId="77777777" w:rsidR="008D27C2" w:rsidRPr="007C740F" w:rsidRDefault="008D27C2" w:rsidP="008D27C2">
      <w:pPr>
        <w:pStyle w:val="Heading2"/>
      </w:pPr>
      <w:bookmarkStart w:id="18" w:name="_Toc193659669"/>
      <w:r w:rsidRPr="007C740F">
        <w:t xml:space="preserve">Limitations of the </w:t>
      </w:r>
      <w:r w:rsidR="00871319" w:rsidRPr="007C740F">
        <w:t>MGDb</w:t>
      </w:r>
      <w:bookmarkEnd w:id="17"/>
      <w:bookmarkEnd w:id="18"/>
    </w:p>
    <w:p w14:paraId="0C380994" w14:textId="7A137DF3" w:rsidR="008D27C2" w:rsidRPr="007C740F" w:rsidRDefault="007C7EA3" w:rsidP="001F6D1C">
      <w:pPr>
        <w:pStyle w:val="BodyText1"/>
        <w:jc w:val="both"/>
      </w:pPr>
      <w:r w:rsidRPr="007C740F">
        <w:t xml:space="preserve">The </w:t>
      </w:r>
      <w:r w:rsidR="00871319" w:rsidRPr="007C740F">
        <w:t>MGDb</w:t>
      </w:r>
      <w:r w:rsidRPr="007C740F">
        <w:t xml:space="preserve"> </w:t>
      </w:r>
      <w:r w:rsidR="008D27C2" w:rsidRPr="007C740F">
        <w:t>includes only early-onset</w:t>
      </w:r>
      <w:r w:rsidR="003937C5" w:rsidRPr="007C740F">
        <w:rPr>
          <w:rStyle w:val="FootnoteReference"/>
        </w:rPr>
        <w:footnoteReference w:id="16"/>
      </w:r>
      <w:r w:rsidR="00871319" w:rsidRPr="007C740F">
        <w:t xml:space="preserve"> endogenous</w:t>
      </w:r>
      <w:r w:rsidR="00496084" w:rsidRPr="007C740F">
        <w:t xml:space="preserve"> </w:t>
      </w:r>
      <w:r w:rsidR="008D27C2" w:rsidRPr="007C740F">
        <w:t>congenital disorders</w:t>
      </w:r>
      <w:r w:rsidRPr="007C740F">
        <w:t xml:space="preserve"> in the groups shown in Figure 1</w:t>
      </w:r>
      <w:r w:rsidR="008D27C2" w:rsidRPr="007C740F">
        <w:t xml:space="preserve">. </w:t>
      </w:r>
      <w:r w:rsidRPr="007C740F">
        <w:t xml:space="preserve">It does not (yet) include </w:t>
      </w:r>
      <w:r w:rsidR="00937C25" w:rsidRPr="007C740F">
        <w:t xml:space="preserve">disorders with onset in adult life (e.g. bicuspid aortic valve, family cancer syndromes, neurodegenerative disorders, haemochromatosis); </w:t>
      </w:r>
      <w:r w:rsidRPr="007C740F">
        <w:t xml:space="preserve">functional disorders without a known cause </w:t>
      </w:r>
      <w:r w:rsidR="00937C25" w:rsidRPr="007C740F">
        <w:t xml:space="preserve">(e.g. </w:t>
      </w:r>
      <w:r w:rsidR="009F79B0" w:rsidRPr="007C740F">
        <w:t xml:space="preserve">blindness, deafness, </w:t>
      </w:r>
      <w:r w:rsidRPr="007C740F">
        <w:t>cerebral palsy originating before birth</w:t>
      </w:r>
      <w:r w:rsidR="00937C25" w:rsidRPr="007C740F">
        <w:t xml:space="preserve">); </w:t>
      </w:r>
      <w:r w:rsidR="008D27C2" w:rsidRPr="007C740F">
        <w:t xml:space="preserve">disorders caused by </w:t>
      </w:r>
      <w:r w:rsidR="00B520C1" w:rsidRPr="007C740F">
        <w:t xml:space="preserve">maternal exposure to </w:t>
      </w:r>
      <w:r w:rsidR="008D27C2" w:rsidRPr="007C740F">
        <w:t xml:space="preserve">environmental risk factors </w:t>
      </w:r>
      <w:r w:rsidR="00B520C1" w:rsidRPr="007C740F">
        <w:t>(</w:t>
      </w:r>
      <w:r w:rsidR="008D27C2" w:rsidRPr="007C740F">
        <w:t>infection, malnutrition, teratogens</w:t>
      </w:r>
      <w:r w:rsidR="00B520C1" w:rsidRPr="007C740F">
        <w:t>)</w:t>
      </w:r>
      <w:r w:rsidR="009F79B0" w:rsidRPr="007C740F">
        <w:t>.</w:t>
      </w:r>
      <w:r w:rsidR="005A170F" w:rsidRPr="007C740F">
        <w:rPr>
          <w:rStyle w:val="FootnoteReference"/>
        </w:rPr>
        <w:footnoteReference w:id="17"/>
      </w:r>
      <w:r w:rsidR="005A170F" w:rsidRPr="007C740F">
        <w:t xml:space="preserve"> </w:t>
      </w:r>
      <w:r w:rsidR="00F84403" w:rsidRPr="007C740F">
        <w:t>Importantly</w:t>
      </w:r>
      <w:r w:rsidR="003037C6" w:rsidRPr="007C740F">
        <w:t>,</w:t>
      </w:r>
      <w:r w:rsidR="00F84403" w:rsidRPr="007C740F">
        <w:t xml:space="preserve"> </w:t>
      </w:r>
      <w:r w:rsidR="009F79B0" w:rsidRPr="007C740F">
        <w:t xml:space="preserve">it does not include estimates for the </w:t>
      </w:r>
      <w:r w:rsidR="00496084" w:rsidRPr="007C740F">
        <w:t xml:space="preserve">effect of non-governmental support organisations </w:t>
      </w:r>
      <w:r w:rsidR="00B472DD" w:rsidRPr="007C740F">
        <w:t xml:space="preserve">that target </w:t>
      </w:r>
      <w:r w:rsidR="00496084" w:rsidRPr="007C740F">
        <w:t>specific congenital disorders.</w:t>
      </w:r>
      <w:r w:rsidR="00937C25" w:rsidRPr="007C740F">
        <w:rPr>
          <w:rStyle w:val="FootnoteReference"/>
        </w:rPr>
        <w:footnoteReference w:id="18"/>
      </w:r>
      <w:r w:rsidRPr="007C740F">
        <w:t xml:space="preserve"> </w:t>
      </w:r>
    </w:p>
    <w:p w14:paraId="5CD418E7" w14:textId="3DEE7870" w:rsidR="006E2D35" w:rsidRPr="007C740F" w:rsidRDefault="007F2266" w:rsidP="005E02ED">
      <w:pPr>
        <w:pStyle w:val="Heading1"/>
      </w:pPr>
      <w:bookmarkStart w:id="19" w:name="_Toc193659670"/>
      <w:r w:rsidRPr="007C740F">
        <w:t>Some e</w:t>
      </w:r>
      <w:r w:rsidR="00DD15C9" w:rsidRPr="007C740F">
        <w:t>xamples of outputs</w:t>
      </w:r>
      <w:bookmarkEnd w:id="19"/>
    </w:p>
    <w:p w14:paraId="0B1807CD" w14:textId="51253697" w:rsidR="00A4033F" w:rsidRPr="007C740F" w:rsidRDefault="00BA4913" w:rsidP="00A4033F">
      <w:pPr>
        <w:pStyle w:val="NoSpacing"/>
        <w:rPr>
          <w:szCs w:val="24"/>
        </w:rPr>
      </w:pPr>
      <w:r w:rsidRPr="007C740F">
        <w:rPr>
          <w:szCs w:val="24"/>
        </w:rPr>
        <w:t>The following charts illustrate the basic premise and the potential of the method</w:t>
      </w:r>
      <w:r w:rsidR="007F2266" w:rsidRPr="007C740F">
        <w:rPr>
          <w:szCs w:val="24"/>
        </w:rPr>
        <w:t xml:space="preserve"> used</w:t>
      </w:r>
      <w:r w:rsidRPr="007C740F">
        <w:rPr>
          <w:szCs w:val="24"/>
        </w:rPr>
        <w:t>.</w:t>
      </w:r>
    </w:p>
    <w:p w14:paraId="69EEB903" w14:textId="11AFE332" w:rsidR="00DB7DF9" w:rsidRPr="007C740F" w:rsidRDefault="00FB1B54" w:rsidP="00A4033F">
      <w:pPr>
        <w:pStyle w:val="NoSpacing"/>
        <w:spacing w:before="240"/>
        <w:rPr>
          <w:szCs w:val="24"/>
        </w:rPr>
      </w:pPr>
      <w:r w:rsidRPr="007C740F">
        <w:rPr>
          <w:szCs w:val="24"/>
        </w:rPr>
        <w:t xml:space="preserve">Figure </w:t>
      </w:r>
      <w:r w:rsidR="005A170F" w:rsidRPr="007C740F">
        <w:rPr>
          <w:szCs w:val="24"/>
        </w:rPr>
        <w:t>4</w:t>
      </w:r>
      <w:r w:rsidRPr="007C740F">
        <w:rPr>
          <w:szCs w:val="24"/>
        </w:rPr>
        <w:t xml:space="preserve"> show</w:t>
      </w:r>
      <w:r w:rsidR="006C0EF7" w:rsidRPr="007C740F">
        <w:rPr>
          <w:szCs w:val="24"/>
        </w:rPr>
        <w:t>s</w:t>
      </w:r>
      <w:r w:rsidRPr="007C740F">
        <w:rPr>
          <w:szCs w:val="24"/>
        </w:rPr>
        <w:t xml:space="preserve"> estimated baseline birth prevalence </w:t>
      </w:r>
      <w:r w:rsidR="006C0EF7" w:rsidRPr="007C740F">
        <w:rPr>
          <w:szCs w:val="24"/>
        </w:rPr>
        <w:t xml:space="preserve">of the </w:t>
      </w:r>
      <w:r w:rsidRPr="007C740F">
        <w:rPr>
          <w:szCs w:val="24"/>
        </w:rPr>
        <w:t>main disorder group</w:t>
      </w:r>
      <w:r w:rsidR="006C0EF7" w:rsidRPr="007C740F">
        <w:rPr>
          <w:szCs w:val="24"/>
        </w:rPr>
        <w:t>s</w:t>
      </w:r>
      <w:r w:rsidRPr="007C740F">
        <w:rPr>
          <w:szCs w:val="24"/>
        </w:rPr>
        <w:t xml:space="preserve"> </w:t>
      </w:r>
      <w:r w:rsidR="006C0EF7" w:rsidRPr="007C740F">
        <w:rPr>
          <w:szCs w:val="24"/>
        </w:rPr>
        <w:t xml:space="preserve">by </w:t>
      </w:r>
      <w:r w:rsidRPr="007C740F">
        <w:rPr>
          <w:szCs w:val="24"/>
        </w:rPr>
        <w:t xml:space="preserve">WHO region. </w:t>
      </w:r>
      <w:r w:rsidR="006C0EF7" w:rsidRPr="007C740F">
        <w:rPr>
          <w:szCs w:val="24"/>
        </w:rPr>
        <w:t xml:space="preserve">The total height of the bars represents the envelope of baseline birth prevalence. </w:t>
      </w:r>
    </w:p>
    <w:p w14:paraId="3E0DCD2F" w14:textId="612D2589" w:rsidR="00414B1F" w:rsidRPr="007C740F" w:rsidRDefault="008D59A5" w:rsidP="00414B1F">
      <w:pPr>
        <w:pStyle w:val="BodyText1"/>
        <w:jc w:val="center"/>
      </w:pPr>
      <w:r w:rsidRPr="007C740F">
        <w:rPr>
          <w:noProof/>
          <w:szCs w:val="24"/>
          <w:lang w:eastAsia="en-GB"/>
        </w:rPr>
        <w:drawing>
          <wp:inline distT="0" distB="0" distL="0" distR="0" wp14:anchorId="1C05F41B" wp14:editId="46BBD322">
            <wp:extent cx="5104738" cy="2338930"/>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1890" cy="2342207"/>
                    </a:xfrm>
                    <a:prstGeom prst="rect">
                      <a:avLst/>
                    </a:prstGeom>
                    <a:noFill/>
                  </pic:spPr>
                </pic:pic>
              </a:graphicData>
            </a:graphic>
          </wp:inline>
        </w:drawing>
      </w:r>
    </w:p>
    <w:p w14:paraId="32855E70" w14:textId="52B376E5" w:rsidR="00547FF1" w:rsidRPr="007C740F" w:rsidRDefault="005A170F" w:rsidP="005E733C">
      <w:pPr>
        <w:pStyle w:val="Figurelegend"/>
        <w:rPr>
          <w:rFonts w:eastAsiaTheme="minorEastAsia"/>
        </w:rPr>
      </w:pPr>
      <w:r w:rsidRPr="007C740F">
        <w:t>Figure 4</w:t>
      </w:r>
      <w:r w:rsidR="005E733C" w:rsidRPr="007C740F">
        <w:t>.</w:t>
      </w:r>
      <w:r w:rsidR="004B097B" w:rsidRPr="007C740F">
        <w:t xml:space="preserve"> E</w:t>
      </w:r>
      <w:r w:rsidR="00871319" w:rsidRPr="007C740F">
        <w:t>ndogenous</w:t>
      </w:r>
      <w:r w:rsidR="00547FF1" w:rsidRPr="007C740F">
        <w:rPr>
          <w:rFonts w:eastAsiaTheme="minorEastAsia"/>
        </w:rPr>
        <w:t xml:space="preserve"> congenital disorders. Estimated baseline </w:t>
      </w:r>
      <w:r w:rsidR="003937C5" w:rsidRPr="007C740F">
        <w:rPr>
          <w:rFonts w:eastAsiaTheme="minorEastAsia"/>
        </w:rPr>
        <w:t xml:space="preserve">birth prevalence (rate </w:t>
      </w:r>
      <w:r w:rsidR="00547FF1" w:rsidRPr="007C740F">
        <w:rPr>
          <w:rFonts w:eastAsiaTheme="minorEastAsia"/>
        </w:rPr>
        <w:t xml:space="preserve">/1,000 </w:t>
      </w:r>
      <w:r w:rsidR="003937C5" w:rsidRPr="007C740F">
        <w:rPr>
          <w:rFonts w:eastAsiaTheme="minorEastAsia"/>
        </w:rPr>
        <w:t xml:space="preserve">live births) </w:t>
      </w:r>
      <w:r w:rsidR="00547FF1" w:rsidRPr="007C740F">
        <w:rPr>
          <w:rFonts w:eastAsiaTheme="minorEastAsia"/>
        </w:rPr>
        <w:t xml:space="preserve">by </w:t>
      </w:r>
      <w:r w:rsidR="00DE3082" w:rsidRPr="007C740F">
        <w:rPr>
          <w:rFonts w:eastAsiaTheme="minorEastAsia"/>
        </w:rPr>
        <w:t xml:space="preserve">disorder group and </w:t>
      </w:r>
      <w:r w:rsidR="00547FF1" w:rsidRPr="007C740F">
        <w:rPr>
          <w:rFonts w:eastAsiaTheme="minorEastAsia"/>
        </w:rPr>
        <w:t>WHO region</w:t>
      </w:r>
      <w:r w:rsidR="005E02ED" w:rsidRPr="007C740F">
        <w:rPr>
          <w:rFonts w:eastAsiaTheme="minorEastAsia"/>
        </w:rPr>
        <w:t xml:space="preserve">. </w:t>
      </w:r>
      <w:r w:rsidR="006C0EF7" w:rsidRPr="007C740F">
        <w:rPr>
          <w:szCs w:val="24"/>
        </w:rPr>
        <w:t>This is the prevalence that would prevail in the absence of any intervention.</w:t>
      </w:r>
      <w:r w:rsidR="005E02ED" w:rsidRPr="007C740F">
        <w:rPr>
          <w:szCs w:val="24"/>
        </w:rPr>
        <w:t xml:space="preserve"> WHO regions </w:t>
      </w:r>
      <w:r w:rsidR="005E02ED" w:rsidRPr="007C740F">
        <w:rPr>
          <w:rFonts w:eastAsiaTheme="minorEastAsia"/>
        </w:rPr>
        <w:t>in descending order of total prevalence.</w:t>
      </w:r>
    </w:p>
    <w:p w14:paraId="4184CAC6" w14:textId="5C90FFCF" w:rsidR="00B17284" w:rsidRPr="007C740F" w:rsidRDefault="00B17284" w:rsidP="001F6D1C">
      <w:pPr>
        <w:pStyle w:val="BodyText1"/>
        <w:jc w:val="both"/>
        <w:rPr>
          <w:szCs w:val="24"/>
        </w:rPr>
      </w:pPr>
      <w:r w:rsidRPr="007C740F">
        <w:rPr>
          <w:szCs w:val="24"/>
        </w:rPr>
        <w:lastRenderedPageBreak/>
        <w:t>The baseline birth prevalence</w:t>
      </w:r>
      <w:r w:rsidR="006C0EF7" w:rsidRPr="007C740F">
        <w:rPr>
          <w:szCs w:val="24"/>
        </w:rPr>
        <w:t>s</w:t>
      </w:r>
      <w:r w:rsidRPr="007C740F">
        <w:rPr>
          <w:szCs w:val="24"/>
        </w:rPr>
        <w:t xml:space="preserve"> of chromosomal disorders and congenital malformations are broadly similar world-wide</w:t>
      </w:r>
      <w:r w:rsidR="00BD09E1" w:rsidRPr="007C740F">
        <w:rPr>
          <w:szCs w:val="24"/>
        </w:rPr>
        <w:t>: s</w:t>
      </w:r>
      <w:r w:rsidR="00955241" w:rsidRPr="007C740F">
        <w:rPr>
          <w:rFonts w:eastAsiaTheme="minorEastAsia"/>
        </w:rPr>
        <w:t>ingle gene disorders and disorders due to genetic risk factors</w:t>
      </w:r>
      <w:r w:rsidR="00955241" w:rsidRPr="007C740F">
        <w:rPr>
          <w:szCs w:val="24"/>
        </w:rPr>
        <w:t xml:space="preserve"> </w:t>
      </w:r>
      <w:r w:rsidR="00BD09E1" w:rsidRPr="007C740F">
        <w:rPr>
          <w:szCs w:val="24"/>
        </w:rPr>
        <w:t>account</w:t>
      </w:r>
      <w:r w:rsidRPr="007C740F">
        <w:rPr>
          <w:szCs w:val="24"/>
        </w:rPr>
        <w:t xml:space="preserve"> for most </w:t>
      </w:r>
      <w:r w:rsidR="00E7673C" w:rsidRPr="007C740F">
        <w:rPr>
          <w:szCs w:val="24"/>
        </w:rPr>
        <w:t>differences</w:t>
      </w:r>
      <w:r w:rsidR="00A067C3" w:rsidRPr="007C740F">
        <w:rPr>
          <w:szCs w:val="24"/>
        </w:rPr>
        <w:t xml:space="preserve"> in </w:t>
      </w:r>
      <w:r w:rsidR="00CA09D1" w:rsidRPr="007C740F">
        <w:rPr>
          <w:szCs w:val="24"/>
        </w:rPr>
        <w:t xml:space="preserve">collective </w:t>
      </w:r>
      <w:r w:rsidR="00A067C3" w:rsidRPr="007C740F">
        <w:rPr>
          <w:szCs w:val="24"/>
        </w:rPr>
        <w:t>baseline birth prevalence</w:t>
      </w:r>
      <w:r w:rsidR="00E7673C" w:rsidRPr="007C740F">
        <w:rPr>
          <w:szCs w:val="24"/>
        </w:rPr>
        <w:t>.</w:t>
      </w:r>
    </w:p>
    <w:p w14:paraId="74A30D1B" w14:textId="1924DCF9" w:rsidR="006C0EF7" w:rsidRPr="007C740F" w:rsidRDefault="003E08A3" w:rsidP="001F6D1C">
      <w:pPr>
        <w:pStyle w:val="BodyText1"/>
        <w:jc w:val="both"/>
        <w:rPr>
          <w:szCs w:val="24"/>
        </w:rPr>
      </w:pPr>
      <w:r w:rsidRPr="007C740F">
        <w:rPr>
          <w:szCs w:val="24"/>
        </w:rPr>
        <w:t>A range of interv</w:t>
      </w:r>
      <w:r w:rsidR="002D69EA" w:rsidRPr="007C740F">
        <w:rPr>
          <w:szCs w:val="24"/>
        </w:rPr>
        <w:t>entions, detailed below, reduce</w:t>
      </w:r>
      <w:r w:rsidRPr="007C740F">
        <w:rPr>
          <w:szCs w:val="24"/>
        </w:rPr>
        <w:t xml:space="preserve"> affecte</w:t>
      </w:r>
      <w:r w:rsidR="002D69EA" w:rsidRPr="007C740F">
        <w:rPr>
          <w:szCs w:val="24"/>
        </w:rPr>
        <w:t>d birth prevalence</w:t>
      </w:r>
      <w:r w:rsidR="003035FF" w:rsidRPr="007C740F">
        <w:rPr>
          <w:szCs w:val="24"/>
        </w:rPr>
        <w:t>,</w:t>
      </w:r>
      <w:r w:rsidR="002D69EA" w:rsidRPr="007C740F">
        <w:rPr>
          <w:szCs w:val="24"/>
        </w:rPr>
        <w:t xml:space="preserve"> and increase</w:t>
      </w:r>
      <w:r w:rsidRPr="007C740F">
        <w:rPr>
          <w:szCs w:val="24"/>
        </w:rPr>
        <w:t xml:space="preserve"> the range of possible outcomes. However</w:t>
      </w:r>
      <w:r w:rsidR="003035FF" w:rsidRPr="007C740F">
        <w:rPr>
          <w:szCs w:val="24"/>
        </w:rPr>
        <w:t>,</w:t>
      </w:r>
      <w:r w:rsidRPr="007C740F">
        <w:rPr>
          <w:szCs w:val="24"/>
        </w:rPr>
        <w:t xml:space="preserve"> the actual impact of these interventions depends</w:t>
      </w:r>
      <w:r w:rsidR="00DC6730" w:rsidRPr="007C740F">
        <w:rPr>
          <w:szCs w:val="24"/>
        </w:rPr>
        <w:t xml:space="preserve"> on </w:t>
      </w:r>
      <w:r w:rsidRPr="007C740F">
        <w:rPr>
          <w:szCs w:val="24"/>
        </w:rPr>
        <w:t>the proportion</w:t>
      </w:r>
      <w:r w:rsidR="00DC6730" w:rsidRPr="007C740F">
        <w:rPr>
          <w:szCs w:val="24"/>
        </w:rPr>
        <w:t xml:space="preserve"> </w:t>
      </w:r>
      <w:r w:rsidRPr="007C740F">
        <w:rPr>
          <w:szCs w:val="24"/>
        </w:rPr>
        <w:t xml:space="preserve">of the population with access </w:t>
      </w:r>
      <w:r w:rsidR="00DC6730" w:rsidRPr="007C740F">
        <w:rPr>
          <w:szCs w:val="24"/>
        </w:rPr>
        <w:t xml:space="preserve">to specialist services. </w:t>
      </w:r>
      <w:r w:rsidR="00452077" w:rsidRPr="007C740F">
        <w:rPr>
          <w:szCs w:val="24"/>
        </w:rPr>
        <w:t xml:space="preserve">Access is estimated using an equation based on infant mortality (see </w:t>
      </w:r>
      <w:r w:rsidR="00452077" w:rsidRPr="007C740F">
        <w:rPr>
          <w:i/>
          <w:szCs w:val="24"/>
        </w:rPr>
        <w:t>Article 5</w:t>
      </w:r>
      <w:r w:rsidR="00452077" w:rsidRPr="007C740F">
        <w:rPr>
          <w:szCs w:val="24"/>
        </w:rPr>
        <w:t>)</w:t>
      </w:r>
      <w:r w:rsidR="00C97F87" w:rsidRPr="007C740F">
        <w:rPr>
          <w:szCs w:val="24"/>
        </w:rPr>
        <w:t>: 100% access is defined as access to specialist services currently available in Western Europe</w:t>
      </w:r>
      <w:r w:rsidR="00452077" w:rsidRPr="007C740F">
        <w:rPr>
          <w:szCs w:val="24"/>
        </w:rPr>
        <w:t xml:space="preserve">. </w:t>
      </w:r>
      <w:r w:rsidR="006C0EF7" w:rsidRPr="007C740F">
        <w:rPr>
          <w:szCs w:val="24"/>
        </w:rPr>
        <w:t xml:space="preserve">Figure </w:t>
      </w:r>
      <w:r w:rsidR="007A3650" w:rsidRPr="007C740F">
        <w:rPr>
          <w:szCs w:val="24"/>
        </w:rPr>
        <w:t>5</w:t>
      </w:r>
      <w:r w:rsidR="00B17284" w:rsidRPr="007C740F">
        <w:rPr>
          <w:szCs w:val="24"/>
        </w:rPr>
        <w:t xml:space="preserve"> shows</w:t>
      </w:r>
      <w:r w:rsidR="00DC6730" w:rsidRPr="007C740F">
        <w:rPr>
          <w:szCs w:val="24"/>
        </w:rPr>
        <w:t xml:space="preserve"> the</w:t>
      </w:r>
      <w:r w:rsidR="00B17284" w:rsidRPr="007C740F">
        <w:rPr>
          <w:szCs w:val="24"/>
        </w:rPr>
        <w:t xml:space="preserve"> </w:t>
      </w:r>
      <w:r w:rsidR="00DC6730" w:rsidRPr="007C740F">
        <w:rPr>
          <w:szCs w:val="24"/>
        </w:rPr>
        <w:t>evolution of</w:t>
      </w:r>
      <w:r w:rsidR="00CA09D1" w:rsidRPr="007C740F">
        <w:rPr>
          <w:szCs w:val="24"/>
        </w:rPr>
        <w:t xml:space="preserve"> </w:t>
      </w:r>
      <w:r w:rsidR="00892885" w:rsidRPr="007C740F">
        <w:rPr>
          <w:szCs w:val="24"/>
        </w:rPr>
        <w:t xml:space="preserve">estimated </w:t>
      </w:r>
      <w:r w:rsidR="00B17284" w:rsidRPr="007C740F">
        <w:rPr>
          <w:szCs w:val="24"/>
        </w:rPr>
        <w:t>access by WHO region</w:t>
      </w:r>
      <w:r w:rsidR="00452077" w:rsidRPr="007C740F">
        <w:rPr>
          <w:szCs w:val="24"/>
        </w:rPr>
        <w:t>.</w:t>
      </w:r>
    </w:p>
    <w:p w14:paraId="68EA9085" w14:textId="743C7BDD" w:rsidR="00831C7F" w:rsidRPr="007C740F" w:rsidRDefault="008754D9" w:rsidP="00DC6730">
      <w:pPr>
        <w:pStyle w:val="BodyText1"/>
        <w:jc w:val="center"/>
        <w:rPr>
          <w:szCs w:val="24"/>
        </w:rPr>
      </w:pPr>
      <w:r w:rsidRPr="007C740F">
        <w:rPr>
          <w:noProof/>
          <w:szCs w:val="24"/>
          <w:lang w:eastAsia="en-GB"/>
        </w:rPr>
        <w:drawing>
          <wp:inline distT="0" distB="0" distL="0" distR="0" wp14:anchorId="71A54659" wp14:editId="4CD5F857">
            <wp:extent cx="3919993" cy="236832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3042" cy="2382254"/>
                    </a:xfrm>
                    <a:prstGeom prst="rect">
                      <a:avLst/>
                    </a:prstGeom>
                    <a:noFill/>
                  </pic:spPr>
                </pic:pic>
              </a:graphicData>
            </a:graphic>
          </wp:inline>
        </w:drawing>
      </w:r>
    </w:p>
    <w:p w14:paraId="09B73BC0" w14:textId="4E627DF2" w:rsidR="00831C7F" w:rsidRPr="007C740F" w:rsidRDefault="00831C7F" w:rsidP="00D46C40">
      <w:pPr>
        <w:pStyle w:val="Figurelegend"/>
        <w:rPr>
          <w:szCs w:val="24"/>
        </w:rPr>
      </w:pPr>
      <w:r w:rsidRPr="007C740F">
        <w:t xml:space="preserve">Figure </w:t>
      </w:r>
      <w:r w:rsidR="007A3650" w:rsidRPr="007C740F">
        <w:t>5</w:t>
      </w:r>
      <w:r w:rsidRPr="007C740F">
        <w:t>. Estimated evolution of access to specialist services by WHO region</w:t>
      </w:r>
      <w:r w:rsidR="00892885" w:rsidRPr="007C740F">
        <w:rPr>
          <w:szCs w:val="24"/>
        </w:rPr>
        <w:t>.</w:t>
      </w:r>
    </w:p>
    <w:p w14:paraId="5ACC83CF" w14:textId="2F6DF6EF" w:rsidR="007A3650" w:rsidRPr="007C740F" w:rsidRDefault="007A3650" w:rsidP="007A3650">
      <w:pPr>
        <w:pStyle w:val="BodyText1"/>
      </w:pPr>
      <w:r w:rsidRPr="007C740F">
        <w:rPr>
          <w:szCs w:val="24"/>
        </w:rPr>
        <w:t xml:space="preserve">Figure </w:t>
      </w:r>
      <w:r w:rsidR="002D69EA" w:rsidRPr="007C740F">
        <w:rPr>
          <w:szCs w:val="24"/>
        </w:rPr>
        <w:t>6</w:t>
      </w:r>
      <w:r w:rsidRPr="007C740F">
        <w:rPr>
          <w:szCs w:val="24"/>
        </w:rPr>
        <w:t xml:space="preserve"> shows global estimates of outcomes of endogenous congenital disorders with </w:t>
      </w:r>
      <w:r w:rsidR="002D69EA" w:rsidRPr="007C740F">
        <w:rPr>
          <w:szCs w:val="24"/>
        </w:rPr>
        <w:t xml:space="preserve">(a) </w:t>
      </w:r>
      <w:r w:rsidRPr="007C740F">
        <w:rPr>
          <w:szCs w:val="24"/>
        </w:rPr>
        <w:t xml:space="preserve">no care, </w:t>
      </w:r>
      <w:r w:rsidR="002D69EA" w:rsidRPr="007C740F">
        <w:rPr>
          <w:szCs w:val="24"/>
        </w:rPr>
        <w:t xml:space="preserve">(b) estimated access in 2020-24 </w:t>
      </w:r>
      <w:r w:rsidRPr="007C740F">
        <w:rPr>
          <w:szCs w:val="24"/>
        </w:rPr>
        <w:t xml:space="preserve">and </w:t>
      </w:r>
      <w:r w:rsidR="002D69EA" w:rsidRPr="007C740F">
        <w:rPr>
          <w:szCs w:val="24"/>
        </w:rPr>
        <w:t>(c) 100% access to care (as Western Europe)</w:t>
      </w:r>
      <w:r w:rsidRPr="007C740F">
        <w:rPr>
          <w:szCs w:val="24"/>
        </w:rPr>
        <w:t xml:space="preserve">. </w:t>
      </w:r>
    </w:p>
    <w:p w14:paraId="72E9773C" w14:textId="77777777" w:rsidR="007A3650" w:rsidRPr="007C740F" w:rsidRDefault="007A3650" w:rsidP="007A3650">
      <w:pPr>
        <w:pStyle w:val="Figurelegend"/>
        <w:jc w:val="center"/>
      </w:pPr>
      <w:r w:rsidRPr="007C740F">
        <w:rPr>
          <w:noProof/>
          <w:lang w:eastAsia="en-GB"/>
        </w:rPr>
        <w:drawing>
          <wp:inline distT="0" distB="0" distL="0" distR="0" wp14:anchorId="13243B21" wp14:editId="6FFD1CC8">
            <wp:extent cx="4229874" cy="217070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2286" cy="2182207"/>
                    </a:xfrm>
                    <a:prstGeom prst="rect">
                      <a:avLst/>
                    </a:prstGeom>
                    <a:noFill/>
                  </pic:spPr>
                </pic:pic>
              </a:graphicData>
            </a:graphic>
          </wp:inline>
        </w:drawing>
      </w:r>
    </w:p>
    <w:p w14:paraId="01902D3D" w14:textId="00367083" w:rsidR="007A3650" w:rsidRPr="007C740F" w:rsidRDefault="007A3650" w:rsidP="007A3650">
      <w:pPr>
        <w:pStyle w:val="Figurelegend"/>
        <w:rPr>
          <w:rFonts w:eastAsiaTheme="minorEastAsia"/>
        </w:rPr>
      </w:pPr>
      <w:r w:rsidRPr="007C740F">
        <w:t xml:space="preserve">Figure </w:t>
      </w:r>
      <w:r w:rsidR="002D69EA" w:rsidRPr="007C740F">
        <w:t>6</w:t>
      </w:r>
      <w:r w:rsidRPr="007C740F">
        <w:t>. Endogenous</w:t>
      </w:r>
      <w:r w:rsidRPr="007C740F">
        <w:rPr>
          <w:rFonts w:eastAsiaTheme="minorEastAsia"/>
        </w:rPr>
        <w:t xml:space="preserve"> congenital disorders. Estimated global outcomes </w:t>
      </w:r>
      <w:r w:rsidRPr="007C740F">
        <w:rPr>
          <w:szCs w:val="24"/>
        </w:rPr>
        <w:t xml:space="preserve">with no care, 100% access to care, and with </w:t>
      </w:r>
      <w:r w:rsidR="002D69EA" w:rsidRPr="007C740F">
        <w:rPr>
          <w:szCs w:val="24"/>
        </w:rPr>
        <w:t>estimated access in</w:t>
      </w:r>
      <w:r w:rsidRPr="007C740F">
        <w:rPr>
          <w:szCs w:val="24"/>
        </w:rPr>
        <w:t xml:space="preserve"> 2020-24</w:t>
      </w:r>
      <w:r w:rsidRPr="007C740F">
        <w:rPr>
          <w:rFonts w:eastAsiaTheme="minorEastAsia"/>
        </w:rPr>
        <w:t>.</w:t>
      </w:r>
    </w:p>
    <w:p w14:paraId="03F9D842" w14:textId="6756B1BF" w:rsidR="007A3650" w:rsidRPr="007C740F" w:rsidRDefault="007A3650" w:rsidP="007A3650">
      <w:pPr>
        <w:pStyle w:val="BodyText1"/>
        <w:rPr>
          <w:szCs w:val="24"/>
        </w:rPr>
      </w:pPr>
      <w:r w:rsidRPr="007C740F">
        <w:rPr>
          <w:szCs w:val="24"/>
        </w:rPr>
        <w:t xml:space="preserve">The difference between outcomes in </w:t>
      </w:r>
      <w:r w:rsidR="002D69EA" w:rsidRPr="007C740F">
        <w:rPr>
          <w:szCs w:val="24"/>
        </w:rPr>
        <w:t>with no</w:t>
      </w:r>
      <w:r w:rsidRPr="007C740F">
        <w:rPr>
          <w:szCs w:val="24"/>
        </w:rPr>
        <w:t xml:space="preserve"> care and with </w:t>
      </w:r>
      <w:r w:rsidR="002D69EA" w:rsidRPr="007C740F">
        <w:rPr>
          <w:szCs w:val="24"/>
        </w:rPr>
        <w:t xml:space="preserve">100% access to care </w:t>
      </w:r>
      <w:r w:rsidRPr="007C740F">
        <w:rPr>
          <w:szCs w:val="24"/>
        </w:rPr>
        <w:t>demonstrate</w:t>
      </w:r>
      <w:r w:rsidR="002D69EA" w:rsidRPr="007C740F">
        <w:rPr>
          <w:szCs w:val="24"/>
        </w:rPr>
        <w:t>s</w:t>
      </w:r>
      <w:r w:rsidRPr="007C740F">
        <w:rPr>
          <w:szCs w:val="24"/>
        </w:rPr>
        <w:t xml:space="preserve"> the power of available interventions when fully deployed at the population level. </w:t>
      </w:r>
      <w:r w:rsidR="002D69EA" w:rsidRPr="007C740F">
        <w:rPr>
          <w:szCs w:val="24"/>
        </w:rPr>
        <w:t>Available interventions</w:t>
      </w:r>
      <w:r w:rsidRPr="007C740F">
        <w:rPr>
          <w:szCs w:val="24"/>
        </w:rPr>
        <w:t xml:space="preserve"> have reduced adverse outcomes by 65% in Western Europe</w:t>
      </w:r>
      <w:r w:rsidR="002D69EA" w:rsidRPr="007C740F">
        <w:rPr>
          <w:szCs w:val="24"/>
        </w:rPr>
        <w:t>,</w:t>
      </w:r>
      <w:r w:rsidRPr="007C740F">
        <w:rPr>
          <w:szCs w:val="24"/>
        </w:rPr>
        <w:t xml:space="preserve"> compared with a global estimate of 24%</w:t>
      </w:r>
      <w:r w:rsidR="002D69EA" w:rsidRPr="007C740F">
        <w:rPr>
          <w:szCs w:val="24"/>
        </w:rPr>
        <w:t>.</w:t>
      </w:r>
    </w:p>
    <w:p w14:paraId="59BE00A4" w14:textId="706DFF24" w:rsidR="00892885" w:rsidRPr="007C740F" w:rsidRDefault="006D374C" w:rsidP="00892885">
      <w:pPr>
        <w:pStyle w:val="BodyText1"/>
        <w:rPr>
          <w:szCs w:val="24"/>
        </w:rPr>
      </w:pPr>
      <w:r w:rsidRPr="007C740F">
        <w:rPr>
          <w:szCs w:val="24"/>
        </w:rPr>
        <w:t xml:space="preserve">Figure </w:t>
      </w:r>
      <w:r w:rsidR="002D69EA" w:rsidRPr="007C740F">
        <w:rPr>
          <w:szCs w:val="24"/>
        </w:rPr>
        <w:t>7</w:t>
      </w:r>
      <w:r w:rsidRPr="007C740F">
        <w:rPr>
          <w:szCs w:val="24"/>
        </w:rPr>
        <w:t xml:space="preserve"> shows the residual perce</w:t>
      </w:r>
      <w:r w:rsidR="00BB060D" w:rsidRPr="007C740F">
        <w:rPr>
          <w:szCs w:val="24"/>
        </w:rPr>
        <w:t xml:space="preserve">ived </w:t>
      </w:r>
      <w:r w:rsidR="002D69EA" w:rsidRPr="007C740F">
        <w:rPr>
          <w:szCs w:val="24"/>
        </w:rPr>
        <w:t xml:space="preserve">global </w:t>
      </w:r>
      <w:r w:rsidRPr="007C740F">
        <w:rPr>
          <w:szCs w:val="24"/>
        </w:rPr>
        <w:t xml:space="preserve">health burden </w:t>
      </w:r>
      <w:r w:rsidR="002D69EA" w:rsidRPr="007C740F">
        <w:rPr>
          <w:szCs w:val="24"/>
        </w:rPr>
        <w:t>in the three different situations</w:t>
      </w:r>
      <w:r w:rsidR="00CC2E3D" w:rsidRPr="007C740F">
        <w:rPr>
          <w:szCs w:val="24"/>
        </w:rPr>
        <w:t>.</w:t>
      </w:r>
    </w:p>
    <w:p w14:paraId="21EB5E66" w14:textId="77777777" w:rsidR="007A3650" w:rsidRPr="007C740F" w:rsidRDefault="007A3650" w:rsidP="007A3650">
      <w:pPr>
        <w:pStyle w:val="Figurelegend"/>
        <w:jc w:val="center"/>
      </w:pPr>
      <w:r w:rsidRPr="007C740F">
        <w:rPr>
          <w:noProof/>
          <w:lang w:eastAsia="en-GB"/>
        </w:rPr>
        <w:lastRenderedPageBreak/>
        <w:drawing>
          <wp:inline distT="0" distB="0" distL="0" distR="0" wp14:anchorId="79DBFEF9" wp14:editId="588A4DBD">
            <wp:extent cx="4269851" cy="220463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8877" cy="2209297"/>
                    </a:xfrm>
                    <a:prstGeom prst="rect">
                      <a:avLst/>
                    </a:prstGeom>
                    <a:noFill/>
                  </pic:spPr>
                </pic:pic>
              </a:graphicData>
            </a:graphic>
          </wp:inline>
        </w:drawing>
      </w:r>
    </w:p>
    <w:p w14:paraId="26A3ED86" w14:textId="2747F33D" w:rsidR="007A3650" w:rsidRPr="007C740F" w:rsidRDefault="007A3650" w:rsidP="007A3650">
      <w:pPr>
        <w:pStyle w:val="Figurelegend"/>
        <w:rPr>
          <w:rFonts w:eastAsiaTheme="minorEastAsia"/>
        </w:rPr>
      </w:pPr>
      <w:r w:rsidRPr="007C740F">
        <w:t xml:space="preserve">Figure </w:t>
      </w:r>
      <w:r w:rsidR="002D69EA" w:rsidRPr="007C740F">
        <w:t>7</w:t>
      </w:r>
      <w:r w:rsidRPr="007C740F">
        <w:t>. Endogenous</w:t>
      </w:r>
      <w:r w:rsidRPr="007C740F">
        <w:rPr>
          <w:rFonts w:eastAsiaTheme="minorEastAsia"/>
        </w:rPr>
        <w:t xml:space="preserve"> congenital disorders. Estimated adverse outcomes </w:t>
      </w:r>
      <w:r w:rsidRPr="007C740F">
        <w:rPr>
          <w:szCs w:val="24"/>
        </w:rPr>
        <w:t>with no care, 100% access</w:t>
      </w:r>
      <w:r w:rsidR="00252FCD" w:rsidRPr="007C740F">
        <w:rPr>
          <w:szCs w:val="24"/>
        </w:rPr>
        <w:t xml:space="preserve"> </w:t>
      </w:r>
      <w:r w:rsidRPr="007C740F">
        <w:rPr>
          <w:szCs w:val="24"/>
        </w:rPr>
        <w:t>and 2020-24</w:t>
      </w:r>
      <w:r w:rsidRPr="007C740F">
        <w:rPr>
          <w:rFonts w:eastAsiaTheme="minorEastAsia"/>
        </w:rPr>
        <w:t>.</w:t>
      </w:r>
    </w:p>
    <w:p w14:paraId="093527CE" w14:textId="7C68B034" w:rsidR="00BA4913" w:rsidRPr="007C740F" w:rsidRDefault="00BA4913" w:rsidP="00BA4913">
      <w:pPr>
        <w:pStyle w:val="NoSpacing"/>
      </w:pPr>
      <w:r w:rsidRPr="007C740F">
        <w:rPr>
          <w:szCs w:val="24"/>
        </w:rPr>
        <w:t xml:space="preserve">The MGDb estimates </w:t>
      </w:r>
      <w:r w:rsidR="007F2266" w:rsidRPr="007C740F">
        <w:rPr>
          <w:szCs w:val="24"/>
        </w:rPr>
        <w:t xml:space="preserve">for </w:t>
      </w:r>
      <w:r w:rsidRPr="007C740F">
        <w:rPr>
          <w:szCs w:val="24"/>
        </w:rPr>
        <w:t xml:space="preserve">congenital anomalies and single gene disorders </w:t>
      </w:r>
      <w:r w:rsidR="009F74FA" w:rsidRPr="007C740F">
        <w:rPr>
          <w:szCs w:val="24"/>
        </w:rPr>
        <w:t xml:space="preserve">have the strongest </w:t>
      </w:r>
      <w:r w:rsidR="00BB060D" w:rsidRPr="007C740F">
        <w:rPr>
          <w:szCs w:val="24"/>
        </w:rPr>
        <w:t>evidence</w:t>
      </w:r>
      <w:r w:rsidR="009F74FA" w:rsidRPr="007C740F">
        <w:rPr>
          <w:szCs w:val="24"/>
        </w:rPr>
        <w:t xml:space="preserve"> </w:t>
      </w:r>
      <w:r w:rsidR="00BB060D" w:rsidRPr="007C740F">
        <w:rPr>
          <w:szCs w:val="24"/>
        </w:rPr>
        <w:t xml:space="preserve">base. </w:t>
      </w:r>
      <w:r w:rsidRPr="007C740F">
        <w:t>Tables</w:t>
      </w:r>
      <w:r w:rsidR="001A19B6" w:rsidRPr="007C740F">
        <w:t xml:space="preserve"> 2 and 3 show global estimates of their </w:t>
      </w:r>
      <w:r w:rsidRPr="007C740F">
        <w:t>baseline birth prevalence and attributable under-5 deaths</w:t>
      </w:r>
      <w:r w:rsidR="001A19B6" w:rsidRPr="007C740F">
        <w:t xml:space="preserve"> in 2020-24</w:t>
      </w:r>
      <w:r w:rsidRPr="007C740F">
        <w:t>.</w:t>
      </w:r>
    </w:p>
    <w:p w14:paraId="5744CACC" w14:textId="1D40C87E" w:rsidR="00BA4913" w:rsidRPr="007C740F" w:rsidRDefault="00BA4913" w:rsidP="00BA4913">
      <w:pPr>
        <w:pStyle w:val="Tableheader"/>
      </w:pPr>
      <w:r w:rsidRPr="007C740F">
        <w:t xml:space="preserve">Table </w:t>
      </w:r>
      <w:r w:rsidR="00BB060D" w:rsidRPr="007C740F">
        <w:t>2.</w:t>
      </w:r>
      <w:r w:rsidRPr="007C740F">
        <w:t xml:space="preserve"> MDG 2020-24. Global estimates of baseline birth prevalence of congenital anomalies and single gene disorders, and attributable under-5 mortality. Rates /1,000 births.</w:t>
      </w:r>
    </w:p>
    <w:tbl>
      <w:tblPr>
        <w:tblW w:w="7947" w:type="dxa"/>
        <w:jc w:val="center"/>
        <w:tblLook w:val="04A0" w:firstRow="1" w:lastRow="0" w:firstColumn="1" w:lastColumn="0" w:noHBand="0" w:noVBand="1"/>
      </w:tblPr>
      <w:tblGrid>
        <w:gridCol w:w="1007"/>
        <w:gridCol w:w="840"/>
        <w:gridCol w:w="729"/>
        <w:gridCol w:w="1000"/>
        <w:gridCol w:w="640"/>
        <w:gridCol w:w="1040"/>
        <w:gridCol w:w="1000"/>
        <w:gridCol w:w="720"/>
        <w:gridCol w:w="1060"/>
      </w:tblGrid>
      <w:tr w:rsidR="00252FCD" w:rsidRPr="007C740F" w14:paraId="491A636B" w14:textId="77777777" w:rsidTr="009F0C25">
        <w:trPr>
          <w:trHeight w:val="284"/>
          <w:jc w:val="center"/>
        </w:trPr>
        <w:tc>
          <w:tcPr>
            <w:tcW w:w="1007" w:type="dxa"/>
            <w:vMerge w:val="restart"/>
            <w:tcBorders>
              <w:top w:val="single" w:sz="4" w:space="0" w:color="auto"/>
              <w:left w:val="single" w:sz="4" w:space="0" w:color="auto"/>
              <w:right w:val="nil"/>
            </w:tcBorders>
            <w:shd w:val="clear" w:color="auto" w:fill="auto"/>
            <w:vAlign w:val="bottom"/>
          </w:tcPr>
          <w:p w14:paraId="40EB341F" w14:textId="11F65E03" w:rsidR="00252FCD" w:rsidRPr="007C740F" w:rsidRDefault="00252FCD" w:rsidP="00252FCD">
            <w:pPr>
              <w:spacing w:after="0" w:line="240" w:lineRule="auto"/>
              <w:jc w:val="center"/>
              <w:rPr>
                <w:rFonts w:ascii="Calibri Light" w:eastAsia="Times New Roman" w:hAnsi="Calibri Light" w:cs="Calibri Light"/>
                <w:color w:val="000000"/>
                <w:sz w:val="18"/>
                <w:szCs w:val="18"/>
                <w:lang w:eastAsia="en-GB"/>
              </w:rPr>
            </w:pPr>
            <w:r w:rsidRPr="007C740F">
              <w:rPr>
                <w:rFonts w:ascii="Calibri Light" w:eastAsia="Times New Roman" w:hAnsi="Calibri Light" w:cs="Calibri Light"/>
                <w:color w:val="000000"/>
                <w:sz w:val="18"/>
                <w:szCs w:val="18"/>
                <w:lang w:eastAsia="en-GB"/>
              </w:rPr>
              <w:t>WHO region</w:t>
            </w:r>
          </w:p>
        </w:tc>
        <w:tc>
          <w:tcPr>
            <w:tcW w:w="840" w:type="dxa"/>
            <w:vMerge w:val="restart"/>
            <w:tcBorders>
              <w:top w:val="single" w:sz="4" w:space="0" w:color="auto"/>
              <w:left w:val="single" w:sz="4" w:space="0" w:color="auto"/>
              <w:right w:val="nil"/>
            </w:tcBorders>
            <w:shd w:val="clear" w:color="auto" w:fill="auto"/>
            <w:vAlign w:val="bottom"/>
          </w:tcPr>
          <w:p w14:paraId="1A3B7323" w14:textId="4FD23BC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Annual births, 1,000s</w:t>
            </w:r>
          </w:p>
        </w:tc>
        <w:tc>
          <w:tcPr>
            <w:tcW w:w="640" w:type="dxa"/>
            <w:vMerge w:val="restart"/>
            <w:tcBorders>
              <w:top w:val="single" w:sz="4" w:space="0" w:color="auto"/>
              <w:left w:val="nil"/>
              <w:right w:val="single" w:sz="4" w:space="0" w:color="auto"/>
            </w:tcBorders>
            <w:shd w:val="clear" w:color="auto" w:fill="auto"/>
            <w:vAlign w:val="bottom"/>
          </w:tcPr>
          <w:p w14:paraId="75BCD270" w14:textId="6D19AFB6"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Under-5 MR</w:t>
            </w:r>
          </w:p>
        </w:tc>
        <w:tc>
          <w:tcPr>
            <w:tcW w:w="2680" w:type="dxa"/>
            <w:gridSpan w:val="3"/>
            <w:tcBorders>
              <w:top w:val="single" w:sz="4" w:space="0" w:color="auto"/>
              <w:left w:val="nil"/>
              <w:bottom w:val="single" w:sz="4" w:space="0" w:color="auto"/>
              <w:right w:val="single" w:sz="4" w:space="0" w:color="auto"/>
            </w:tcBorders>
            <w:shd w:val="clear" w:color="000000" w:fill="FFFFFF"/>
            <w:vAlign w:val="bottom"/>
          </w:tcPr>
          <w:p w14:paraId="5A6695C2" w14:textId="208E8803"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Baseline births /1,000 (SB &amp; LB)</w:t>
            </w:r>
          </w:p>
        </w:tc>
        <w:tc>
          <w:tcPr>
            <w:tcW w:w="2780" w:type="dxa"/>
            <w:gridSpan w:val="3"/>
            <w:tcBorders>
              <w:top w:val="single" w:sz="4" w:space="0" w:color="auto"/>
              <w:left w:val="nil"/>
              <w:bottom w:val="single" w:sz="4" w:space="0" w:color="auto"/>
              <w:right w:val="single" w:sz="4" w:space="0" w:color="auto"/>
            </w:tcBorders>
            <w:shd w:val="clear" w:color="000000" w:fill="FFFFFF"/>
            <w:vAlign w:val="bottom"/>
          </w:tcPr>
          <w:p w14:paraId="511FB973" w14:textId="3FF3C0D8"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Est under-5 deaths /1,000</w:t>
            </w:r>
          </w:p>
        </w:tc>
      </w:tr>
      <w:tr w:rsidR="00252FCD" w:rsidRPr="007C740F" w14:paraId="17835EAE" w14:textId="77777777" w:rsidTr="00141ED3">
        <w:trPr>
          <w:trHeight w:val="284"/>
          <w:jc w:val="center"/>
        </w:trPr>
        <w:tc>
          <w:tcPr>
            <w:tcW w:w="1007" w:type="dxa"/>
            <w:vMerge/>
            <w:tcBorders>
              <w:left w:val="single" w:sz="4" w:space="0" w:color="auto"/>
              <w:bottom w:val="single" w:sz="4" w:space="0" w:color="auto"/>
              <w:right w:val="nil"/>
            </w:tcBorders>
            <w:shd w:val="clear" w:color="auto" w:fill="auto"/>
            <w:vAlign w:val="bottom"/>
            <w:hideMark/>
          </w:tcPr>
          <w:p w14:paraId="2B908474" w14:textId="6A386E8F" w:rsidR="00252FCD" w:rsidRPr="007C740F" w:rsidRDefault="00252FCD" w:rsidP="00252FCD">
            <w:pPr>
              <w:spacing w:after="0" w:line="240" w:lineRule="auto"/>
              <w:jc w:val="center"/>
              <w:rPr>
                <w:rFonts w:ascii="Calibri Light" w:eastAsia="Times New Roman" w:hAnsi="Calibri Light" w:cs="Calibri Light"/>
                <w:color w:val="000000"/>
                <w:sz w:val="18"/>
                <w:szCs w:val="18"/>
                <w:lang w:eastAsia="en-GB"/>
              </w:rPr>
            </w:pPr>
          </w:p>
        </w:tc>
        <w:tc>
          <w:tcPr>
            <w:tcW w:w="840" w:type="dxa"/>
            <w:vMerge/>
            <w:tcBorders>
              <w:left w:val="single" w:sz="4" w:space="0" w:color="auto"/>
              <w:bottom w:val="single" w:sz="4" w:space="0" w:color="auto"/>
              <w:right w:val="nil"/>
            </w:tcBorders>
            <w:shd w:val="clear" w:color="auto" w:fill="auto"/>
            <w:vAlign w:val="bottom"/>
            <w:hideMark/>
          </w:tcPr>
          <w:p w14:paraId="62362F61" w14:textId="61FA0658"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p>
        </w:tc>
        <w:tc>
          <w:tcPr>
            <w:tcW w:w="640" w:type="dxa"/>
            <w:vMerge/>
            <w:tcBorders>
              <w:left w:val="nil"/>
              <w:bottom w:val="single" w:sz="4" w:space="0" w:color="auto"/>
              <w:right w:val="single" w:sz="4" w:space="0" w:color="auto"/>
            </w:tcBorders>
            <w:shd w:val="clear" w:color="auto" w:fill="auto"/>
            <w:vAlign w:val="bottom"/>
            <w:hideMark/>
          </w:tcPr>
          <w:p w14:paraId="53C482E4" w14:textId="61988BA2"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p>
        </w:tc>
        <w:tc>
          <w:tcPr>
            <w:tcW w:w="1000" w:type="dxa"/>
            <w:tcBorders>
              <w:top w:val="single" w:sz="4" w:space="0" w:color="auto"/>
              <w:left w:val="nil"/>
              <w:bottom w:val="single" w:sz="4" w:space="0" w:color="auto"/>
              <w:right w:val="nil"/>
            </w:tcBorders>
            <w:shd w:val="clear" w:color="000000" w:fill="FFFFFF"/>
            <w:vAlign w:val="bottom"/>
            <w:hideMark/>
          </w:tcPr>
          <w:p w14:paraId="34DE38D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congenital anomalies</w:t>
            </w:r>
          </w:p>
        </w:tc>
        <w:tc>
          <w:tcPr>
            <w:tcW w:w="640" w:type="dxa"/>
            <w:tcBorders>
              <w:top w:val="single" w:sz="4" w:space="0" w:color="auto"/>
              <w:left w:val="nil"/>
              <w:bottom w:val="single" w:sz="4" w:space="0" w:color="auto"/>
              <w:right w:val="nil"/>
            </w:tcBorders>
            <w:shd w:val="clear" w:color="000000" w:fill="FFFFFF"/>
            <w:vAlign w:val="bottom"/>
            <w:hideMark/>
          </w:tcPr>
          <w:p w14:paraId="4C36C1E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single gene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B8BCA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 &amp; single gene</w:t>
            </w:r>
          </w:p>
        </w:tc>
        <w:tc>
          <w:tcPr>
            <w:tcW w:w="1000" w:type="dxa"/>
            <w:tcBorders>
              <w:top w:val="single" w:sz="4" w:space="0" w:color="auto"/>
              <w:left w:val="nil"/>
              <w:bottom w:val="single" w:sz="4" w:space="0" w:color="auto"/>
              <w:right w:val="nil"/>
            </w:tcBorders>
            <w:shd w:val="clear" w:color="000000" w:fill="FFFFFF"/>
            <w:vAlign w:val="bottom"/>
            <w:hideMark/>
          </w:tcPr>
          <w:p w14:paraId="292A9D2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congenital anomalies</w:t>
            </w:r>
          </w:p>
        </w:tc>
        <w:tc>
          <w:tcPr>
            <w:tcW w:w="720" w:type="dxa"/>
            <w:tcBorders>
              <w:top w:val="single" w:sz="4" w:space="0" w:color="auto"/>
              <w:left w:val="nil"/>
              <w:bottom w:val="single" w:sz="4" w:space="0" w:color="auto"/>
              <w:right w:val="nil"/>
            </w:tcBorders>
            <w:shd w:val="clear" w:color="000000" w:fill="FFFFFF"/>
            <w:vAlign w:val="bottom"/>
            <w:hideMark/>
          </w:tcPr>
          <w:p w14:paraId="62DAA6A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single gene</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38EA5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 &amp; single gene</w:t>
            </w:r>
          </w:p>
        </w:tc>
      </w:tr>
      <w:tr w:rsidR="00252FCD" w:rsidRPr="007C740F" w14:paraId="67D3CC86"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25D406EA"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AFR</w:t>
            </w:r>
          </w:p>
        </w:tc>
        <w:tc>
          <w:tcPr>
            <w:tcW w:w="840" w:type="dxa"/>
            <w:tcBorders>
              <w:top w:val="nil"/>
              <w:left w:val="single" w:sz="4" w:space="0" w:color="auto"/>
              <w:bottom w:val="nil"/>
              <w:right w:val="nil"/>
            </w:tcBorders>
            <w:shd w:val="clear" w:color="auto" w:fill="auto"/>
            <w:noWrap/>
            <w:vAlign w:val="bottom"/>
            <w:hideMark/>
          </w:tcPr>
          <w:p w14:paraId="521A0058"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39,632</w:t>
            </w:r>
          </w:p>
        </w:tc>
        <w:tc>
          <w:tcPr>
            <w:tcW w:w="640" w:type="dxa"/>
            <w:tcBorders>
              <w:top w:val="nil"/>
              <w:left w:val="nil"/>
              <w:bottom w:val="nil"/>
              <w:right w:val="single" w:sz="4" w:space="0" w:color="auto"/>
            </w:tcBorders>
            <w:shd w:val="clear" w:color="auto" w:fill="auto"/>
            <w:noWrap/>
            <w:vAlign w:val="bottom"/>
            <w:hideMark/>
          </w:tcPr>
          <w:p w14:paraId="4A8C18C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70.1</w:t>
            </w:r>
          </w:p>
        </w:tc>
        <w:tc>
          <w:tcPr>
            <w:tcW w:w="1000" w:type="dxa"/>
            <w:tcBorders>
              <w:top w:val="nil"/>
              <w:left w:val="nil"/>
              <w:bottom w:val="nil"/>
              <w:right w:val="nil"/>
            </w:tcBorders>
            <w:shd w:val="clear" w:color="000000" w:fill="FFFFFF"/>
            <w:noWrap/>
            <w:vAlign w:val="bottom"/>
            <w:hideMark/>
          </w:tcPr>
          <w:p w14:paraId="7BA0020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23.7</w:t>
            </w:r>
          </w:p>
        </w:tc>
        <w:tc>
          <w:tcPr>
            <w:tcW w:w="640" w:type="dxa"/>
            <w:tcBorders>
              <w:top w:val="nil"/>
              <w:left w:val="nil"/>
              <w:bottom w:val="nil"/>
              <w:right w:val="nil"/>
            </w:tcBorders>
            <w:shd w:val="clear" w:color="000000" w:fill="FFFFFF"/>
            <w:noWrap/>
            <w:vAlign w:val="bottom"/>
            <w:hideMark/>
          </w:tcPr>
          <w:p w14:paraId="4479CD8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20.3</w:t>
            </w:r>
          </w:p>
        </w:tc>
        <w:tc>
          <w:tcPr>
            <w:tcW w:w="1040" w:type="dxa"/>
            <w:tcBorders>
              <w:top w:val="nil"/>
              <w:left w:val="single" w:sz="4" w:space="0" w:color="auto"/>
              <w:bottom w:val="nil"/>
              <w:right w:val="single" w:sz="4" w:space="0" w:color="auto"/>
            </w:tcBorders>
            <w:shd w:val="clear" w:color="000000" w:fill="FFFFFF"/>
            <w:noWrap/>
            <w:vAlign w:val="bottom"/>
            <w:hideMark/>
          </w:tcPr>
          <w:p w14:paraId="0FCECD4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44.0</w:t>
            </w:r>
          </w:p>
        </w:tc>
        <w:tc>
          <w:tcPr>
            <w:tcW w:w="1000" w:type="dxa"/>
            <w:tcBorders>
              <w:top w:val="nil"/>
              <w:left w:val="nil"/>
              <w:bottom w:val="nil"/>
              <w:right w:val="nil"/>
            </w:tcBorders>
            <w:shd w:val="clear" w:color="000000" w:fill="FFFFFF"/>
            <w:noWrap/>
            <w:vAlign w:val="bottom"/>
            <w:hideMark/>
          </w:tcPr>
          <w:p w14:paraId="0BA5BB5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10.3</w:t>
            </w:r>
          </w:p>
        </w:tc>
        <w:tc>
          <w:tcPr>
            <w:tcW w:w="720" w:type="dxa"/>
            <w:tcBorders>
              <w:top w:val="nil"/>
              <w:left w:val="nil"/>
              <w:bottom w:val="nil"/>
              <w:right w:val="nil"/>
            </w:tcBorders>
            <w:shd w:val="clear" w:color="000000" w:fill="FFFFFF"/>
            <w:noWrap/>
            <w:vAlign w:val="bottom"/>
            <w:hideMark/>
          </w:tcPr>
          <w:p w14:paraId="7011BCD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11.0</w:t>
            </w:r>
          </w:p>
        </w:tc>
        <w:tc>
          <w:tcPr>
            <w:tcW w:w="1060" w:type="dxa"/>
            <w:tcBorders>
              <w:top w:val="nil"/>
              <w:left w:val="single" w:sz="4" w:space="0" w:color="auto"/>
              <w:bottom w:val="nil"/>
              <w:right w:val="single" w:sz="4" w:space="0" w:color="auto"/>
            </w:tcBorders>
            <w:shd w:val="clear" w:color="000000" w:fill="FFFFFF"/>
            <w:noWrap/>
            <w:vAlign w:val="bottom"/>
            <w:hideMark/>
          </w:tcPr>
          <w:p w14:paraId="73859C8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21.4</w:t>
            </w:r>
          </w:p>
        </w:tc>
      </w:tr>
      <w:tr w:rsidR="00252FCD" w:rsidRPr="007C740F" w14:paraId="1C541E32"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435A21E5"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AMR</w:t>
            </w:r>
          </w:p>
        </w:tc>
        <w:tc>
          <w:tcPr>
            <w:tcW w:w="840" w:type="dxa"/>
            <w:tcBorders>
              <w:top w:val="nil"/>
              <w:left w:val="single" w:sz="4" w:space="0" w:color="auto"/>
              <w:bottom w:val="nil"/>
              <w:right w:val="nil"/>
            </w:tcBorders>
            <w:shd w:val="clear" w:color="auto" w:fill="auto"/>
            <w:noWrap/>
            <w:vAlign w:val="bottom"/>
            <w:hideMark/>
          </w:tcPr>
          <w:p w14:paraId="73D339A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13,796</w:t>
            </w:r>
          </w:p>
        </w:tc>
        <w:tc>
          <w:tcPr>
            <w:tcW w:w="640" w:type="dxa"/>
            <w:tcBorders>
              <w:top w:val="nil"/>
              <w:left w:val="nil"/>
              <w:bottom w:val="nil"/>
              <w:right w:val="single" w:sz="4" w:space="0" w:color="auto"/>
            </w:tcBorders>
            <w:shd w:val="clear" w:color="auto" w:fill="auto"/>
            <w:noWrap/>
            <w:vAlign w:val="bottom"/>
            <w:hideMark/>
          </w:tcPr>
          <w:p w14:paraId="09570E3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13.2</w:t>
            </w:r>
          </w:p>
        </w:tc>
        <w:tc>
          <w:tcPr>
            <w:tcW w:w="1000" w:type="dxa"/>
            <w:tcBorders>
              <w:top w:val="nil"/>
              <w:left w:val="nil"/>
              <w:bottom w:val="nil"/>
              <w:right w:val="nil"/>
            </w:tcBorders>
            <w:shd w:val="clear" w:color="000000" w:fill="FFFFFF"/>
            <w:noWrap/>
            <w:vAlign w:val="bottom"/>
            <w:hideMark/>
          </w:tcPr>
          <w:p w14:paraId="6BC8178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25.8</w:t>
            </w:r>
          </w:p>
        </w:tc>
        <w:tc>
          <w:tcPr>
            <w:tcW w:w="640" w:type="dxa"/>
            <w:tcBorders>
              <w:top w:val="nil"/>
              <w:left w:val="nil"/>
              <w:bottom w:val="nil"/>
              <w:right w:val="nil"/>
            </w:tcBorders>
            <w:shd w:val="clear" w:color="000000" w:fill="FFFFFF"/>
            <w:noWrap/>
            <w:vAlign w:val="bottom"/>
            <w:hideMark/>
          </w:tcPr>
          <w:p w14:paraId="763BC34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6.3</w:t>
            </w:r>
          </w:p>
        </w:tc>
        <w:tc>
          <w:tcPr>
            <w:tcW w:w="1040" w:type="dxa"/>
            <w:tcBorders>
              <w:top w:val="nil"/>
              <w:left w:val="single" w:sz="4" w:space="0" w:color="auto"/>
              <w:bottom w:val="nil"/>
              <w:right w:val="single" w:sz="4" w:space="0" w:color="auto"/>
            </w:tcBorders>
            <w:shd w:val="clear" w:color="000000" w:fill="FFFFFF"/>
            <w:noWrap/>
            <w:vAlign w:val="bottom"/>
            <w:hideMark/>
          </w:tcPr>
          <w:p w14:paraId="6DBF52D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32.1</w:t>
            </w:r>
          </w:p>
        </w:tc>
        <w:tc>
          <w:tcPr>
            <w:tcW w:w="1000" w:type="dxa"/>
            <w:tcBorders>
              <w:top w:val="nil"/>
              <w:left w:val="nil"/>
              <w:bottom w:val="nil"/>
              <w:right w:val="nil"/>
            </w:tcBorders>
            <w:shd w:val="clear" w:color="000000" w:fill="FFFFFF"/>
            <w:noWrap/>
            <w:vAlign w:val="bottom"/>
            <w:hideMark/>
          </w:tcPr>
          <w:p w14:paraId="5FD99FB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w:t>
            </w:r>
          </w:p>
        </w:tc>
        <w:tc>
          <w:tcPr>
            <w:tcW w:w="720" w:type="dxa"/>
            <w:tcBorders>
              <w:top w:val="nil"/>
              <w:left w:val="nil"/>
              <w:bottom w:val="nil"/>
              <w:right w:val="nil"/>
            </w:tcBorders>
            <w:shd w:val="clear" w:color="000000" w:fill="FFFFFF"/>
            <w:noWrap/>
            <w:vAlign w:val="bottom"/>
            <w:hideMark/>
          </w:tcPr>
          <w:p w14:paraId="3AD08CA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w:t>
            </w:r>
          </w:p>
        </w:tc>
        <w:tc>
          <w:tcPr>
            <w:tcW w:w="1060" w:type="dxa"/>
            <w:tcBorders>
              <w:top w:val="nil"/>
              <w:left w:val="single" w:sz="4" w:space="0" w:color="auto"/>
              <w:bottom w:val="nil"/>
              <w:right w:val="single" w:sz="4" w:space="0" w:color="auto"/>
            </w:tcBorders>
            <w:shd w:val="clear" w:color="000000" w:fill="FFFFFF"/>
            <w:noWrap/>
            <w:vAlign w:val="bottom"/>
            <w:hideMark/>
          </w:tcPr>
          <w:p w14:paraId="6DB037A8"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w:t>
            </w:r>
          </w:p>
        </w:tc>
      </w:tr>
      <w:tr w:rsidR="00252FCD" w:rsidRPr="007C740F" w14:paraId="4A94CC9E"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621728DF"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EMR</w:t>
            </w:r>
          </w:p>
        </w:tc>
        <w:tc>
          <w:tcPr>
            <w:tcW w:w="840" w:type="dxa"/>
            <w:tcBorders>
              <w:top w:val="nil"/>
              <w:left w:val="single" w:sz="4" w:space="0" w:color="auto"/>
              <w:bottom w:val="nil"/>
              <w:right w:val="nil"/>
            </w:tcBorders>
            <w:shd w:val="clear" w:color="auto" w:fill="auto"/>
            <w:noWrap/>
            <w:vAlign w:val="bottom"/>
            <w:hideMark/>
          </w:tcPr>
          <w:p w14:paraId="2D87E28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18,756</w:t>
            </w:r>
          </w:p>
        </w:tc>
        <w:tc>
          <w:tcPr>
            <w:tcW w:w="640" w:type="dxa"/>
            <w:tcBorders>
              <w:top w:val="nil"/>
              <w:left w:val="nil"/>
              <w:bottom w:val="nil"/>
              <w:right w:val="single" w:sz="4" w:space="0" w:color="auto"/>
            </w:tcBorders>
            <w:shd w:val="clear" w:color="auto" w:fill="auto"/>
            <w:noWrap/>
            <w:vAlign w:val="bottom"/>
            <w:hideMark/>
          </w:tcPr>
          <w:p w14:paraId="5109537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45.2</w:t>
            </w:r>
          </w:p>
        </w:tc>
        <w:tc>
          <w:tcPr>
            <w:tcW w:w="1000" w:type="dxa"/>
            <w:tcBorders>
              <w:top w:val="nil"/>
              <w:left w:val="nil"/>
              <w:bottom w:val="nil"/>
              <w:right w:val="nil"/>
            </w:tcBorders>
            <w:shd w:val="clear" w:color="000000" w:fill="FFFFFF"/>
            <w:noWrap/>
            <w:vAlign w:val="bottom"/>
            <w:hideMark/>
          </w:tcPr>
          <w:p w14:paraId="6DD4E07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25.6</w:t>
            </w:r>
          </w:p>
        </w:tc>
        <w:tc>
          <w:tcPr>
            <w:tcW w:w="640" w:type="dxa"/>
            <w:tcBorders>
              <w:top w:val="nil"/>
              <w:left w:val="nil"/>
              <w:bottom w:val="nil"/>
              <w:right w:val="nil"/>
            </w:tcBorders>
            <w:shd w:val="clear" w:color="000000" w:fill="FFFFFF"/>
            <w:noWrap/>
            <w:vAlign w:val="bottom"/>
            <w:hideMark/>
          </w:tcPr>
          <w:p w14:paraId="1AB3167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24.4</w:t>
            </w:r>
          </w:p>
        </w:tc>
        <w:tc>
          <w:tcPr>
            <w:tcW w:w="1040" w:type="dxa"/>
            <w:tcBorders>
              <w:top w:val="nil"/>
              <w:left w:val="single" w:sz="4" w:space="0" w:color="auto"/>
              <w:bottom w:val="nil"/>
              <w:right w:val="single" w:sz="4" w:space="0" w:color="auto"/>
            </w:tcBorders>
            <w:shd w:val="clear" w:color="000000" w:fill="FFFFFF"/>
            <w:noWrap/>
            <w:vAlign w:val="bottom"/>
            <w:hideMark/>
          </w:tcPr>
          <w:p w14:paraId="6371646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50.0</w:t>
            </w:r>
          </w:p>
        </w:tc>
        <w:tc>
          <w:tcPr>
            <w:tcW w:w="1000" w:type="dxa"/>
            <w:tcBorders>
              <w:top w:val="nil"/>
              <w:left w:val="nil"/>
              <w:bottom w:val="nil"/>
              <w:right w:val="nil"/>
            </w:tcBorders>
            <w:shd w:val="clear" w:color="000000" w:fill="FFFFFF"/>
            <w:noWrap/>
            <w:vAlign w:val="bottom"/>
            <w:hideMark/>
          </w:tcPr>
          <w:p w14:paraId="10251AA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w:t>
            </w:r>
          </w:p>
        </w:tc>
        <w:tc>
          <w:tcPr>
            <w:tcW w:w="720" w:type="dxa"/>
            <w:tcBorders>
              <w:top w:val="nil"/>
              <w:left w:val="nil"/>
              <w:bottom w:val="nil"/>
              <w:right w:val="nil"/>
            </w:tcBorders>
            <w:shd w:val="clear" w:color="000000" w:fill="FFFFFF"/>
            <w:noWrap/>
            <w:vAlign w:val="bottom"/>
            <w:hideMark/>
          </w:tcPr>
          <w:p w14:paraId="7A7C800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11.5</w:t>
            </w:r>
          </w:p>
        </w:tc>
        <w:tc>
          <w:tcPr>
            <w:tcW w:w="1060" w:type="dxa"/>
            <w:tcBorders>
              <w:top w:val="nil"/>
              <w:left w:val="single" w:sz="4" w:space="0" w:color="auto"/>
              <w:bottom w:val="nil"/>
              <w:right w:val="single" w:sz="4" w:space="0" w:color="auto"/>
            </w:tcBorders>
            <w:shd w:val="clear" w:color="000000" w:fill="FFFFFF"/>
            <w:noWrap/>
            <w:vAlign w:val="bottom"/>
            <w:hideMark/>
          </w:tcPr>
          <w:p w14:paraId="1549C84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20.1</w:t>
            </w:r>
          </w:p>
        </w:tc>
      </w:tr>
      <w:tr w:rsidR="00252FCD" w:rsidRPr="007C740F" w14:paraId="2F10FECF"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497AA32A"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EUR</w:t>
            </w:r>
          </w:p>
        </w:tc>
        <w:tc>
          <w:tcPr>
            <w:tcW w:w="840" w:type="dxa"/>
            <w:tcBorders>
              <w:top w:val="nil"/>
              <w:left w:val="single" w:sz="4" w:space="0" w:color="auto"/>
              <w:bottom w:val="nil"/>
              <w:right w:val="nil"/>
            </w:tcBorders>
            <w:shd w:val="clear" w:color="auto" w:fill="auto"/>
            <w:noWrap/>
            <w:vAlign w:val="bottom"/>
            <w:hideMark/>
          </w:tcPr>
          <w:p w14:paraId="00D24CF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10,303</w:t>
            </w:r>
          </w:p>
        </w:tc>
        <w:tc>
          <w:tcPr>
            <w:tcW w:w="640" w:type="dxa"/>
            <w:tcBorders>
              <w:top w:val="nil"/>
              <w:left w:val="nil"/>
              <w:bottom w:val="nil"/>
              <w:right w:val="single" w:sz="4" w:space="0" w:color="auto"/>
            </w:tcBorders>
            <w:shd w:val="clear" w:color="auto" w:fill="auto"/>
            <w:noWrap/>
            <w:vAlign w:val="bottom"/>
            <w:hideMark/>
          </w:tcPr>
          <w:p w14:paraId="1EDF56E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7.3</w:t>
            </w:r>
          </w:p>
        </w:tc>
        <w:tc>
          <w:tcPr>
            <w:tcW w:w="1000" w:type="dxa"/>
            <w:tcBorders>
              <w:top w:val="nil"/>
              <w:left w:val="nil"/>
              <w:bottom w:val="nil"/>
              <w:right w:val="nil"/>
            </w:tcBorders>
            <w:shd w:val="clear" w:color="000000" w:fill="FFFFFF"/>
            <w:noWrap/>
            <w:vAlign w:val="bottom"/>
            <w:hideMark/>
          </w:tcPr>
          <w:p w14:paraId="7914C39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25.8</w:t>
            </w:r>
          </w:p>
        </w:tc>
        <w:tc>
          <w:tcPr>
            <w:tcW w:w="640" w:type="dxa"/>
            <w:tcBorders>
              <w:top w:val="nil"/>
              <w:left w:val="nil"/>
              <w:bottom w:val="nil"/>
              <w:right w:val="nil"/>
            </w:tcBorders>
            <w:shd w:val="clear" w:color="000000" w:fill="FFFFFF"/>
            <w:noWrap/>
            <w:vAlign w:val="bottom"/>
            <w:hideMark/>
          </w:tcPr>
          <w:p w14:paraId="2CA052A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w:t>
            </w:r>
          </w:p>
        </w:tc>
        <w:tc>
          <w:tcPr>
            <w:tcW w:w="1040" w:type="dxa"/>
            <w:tcBorders>
              <w:top w:val="nil"/>
              <w:left w:val="single" w:sz="4" w:space="0" w:color="auto"/>
              <w:bottom w:val="nil"/>
              <w:right w:val="single" w:sz="4" w:space="0" w:color="auto"/>
            </w:tcBorders>
            <w:shd w:val="clear" w:color="000000" w:fill="FFFFFF"/>
            <w:noWrap/>
            <w:vAlign w:val="bottom"/>
            <w:hideMark/>
          </w:tcPr>
          <w:p w14:paraId="1D8ED9C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34.0</w:t>
            </w:r>
          </w:p>
        </w:tc>
        <w:tc>
          <w:tcPr>
            <w:tcW w:w="1000" w:type="dxa"/>
            <w:tcBorders>
              <w:top w:val="nil"/>
              <w:left w:val="nil"/>
              <w:bottom w:val="nil"/>
              <w:right w:val="nil"/>
            </w:tcBorders>
            <w:shd w:val="clear" w:color="000000" w:fill="FFFFFF"/>
            <w:noWrap/>
            <w:vAlign w:val="bottom"/>
            <w:hideMark/>
          </w:tcPr>
          <w:p w14:paraId="0C44B73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w:t>
            </w:r>
          </w:p>
        </w:tc>
        <w:tc>
          <w:tcPr>
            <w:tcW w:w="720" w:type="dxa"/>
            <w:tcBorders>
              <w:top w:val="nil"/>
              <w:left w:val="nil"/>
              <w:bottom w:val="nil"/>
              <w:right w:val="nil"/>
            </w:tcBorders>
            <w:shd w:val="clear" w:color="000000" w:fill="FFFFFF"/>
            <w:noWrap/>
            <w:vAlign w:val="bottom"/>
            <w:hideMark/>
          </w:tcPr>
          <w:p w14:paraId="4335038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w:t>
            </w:r>
          </w:p>
        </w:tc>
        <w:tc>
          <w:tcPr>
            <w:tcW w:w="1060" w:type="dxa"/>
            <w:tcBorders>
              <w:top w:val="nil"/>
              <w:left w:val="single" w:sz="4" w:space="0" w:color="auto"/>
              <w:bottom w:val="nil"/>
              <w:right w:val="single" w:sz="4" w:space="0" w:color="auto"/>
            </w:tcBorders>
            <w:shd w:val="clear" w:color="000000" w:fill="FFFFFF"/>
            <w:noWrap/>
            <w:vAlign w:val="bottom"/>
            <w:hideMark/>
          </w:tcPr>
          <w:p w14:paraId="63D64B3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r>
      <w:tr w:rsidR="00252FCD" w:rsidRPr="007C740F" w14:paraId="1D4B3D0D"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3A0C2603"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SEAR</w:t>
            </w:r>
          </w:p>
        </w:tc>
        <w:tc>
          <w:tcPr>
            <w:tcW w:w="840" w:type="dxa"/>
            <w:tcBorders>
              <w:top w:val="nil"/>
              <w:left w:val="single" w:sz="4" w:space="0" w:color="auto"/>
              <w:bottom w:val="nil"/>
              <w:right w:val="nil"/>
            </w:tcBorders>
            <w:shd w:val="clear" w:color="auto" w:fill="auto"/>
            <w:noWrap/>
            <w:vAlign w:val="bottom"/>
            <w:hideMark/>
          </w:tcPr>
          <w:p w14:paraId="7F1B209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33,471</w:t>
            </w:r>
          </w:p>
        </w:tc>
        <w:tc>
          <w:tcPr>
            <w:tcW w:w="640" w:type="dxa"/>
            <w:tcBorders>
              <w:top w:val="nil"/>
              <w:left w:val="nil"/>
              <w:bottom w:val="nil"/>
              <w:right w:val="single" w:sz="4" w:space="0" w:color="auto"/>
            </w:tcBorders>
            <w:shd w:val="clear" w:color="auto" w:fill="auto"/>
            <w:noWrap/>
            <w:vAlign w:val="bottom"/>
            <w:hideMark/>
          </w:tcPr>
          <w:p w14:paraId="4EBF644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29.1</w:t>
            </w:r>
          </w:p>
        </w:tc>
        <w:tc>
          <w:tcPr>
            <w:tcW w:w="1000" w:type="dxa"/>
            <w:tcBorders>
              <w:top w:val="nil"/>
              <w:left w:val="nil"/>
              <w:bottom w:val="nil"/>
              <w:right w:val="nil"/>
            </w:tcBorders>
            <w:shd w:val="clear" w:color="000000" w:fill="FFFFFF"/>
            <w:noWrap/>
            <w:vAlign w:val="bottom"/>
            <w:hideMark/>
          </w:tcPr>
          <w:p w14:paraId="1F77D79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25.6</w:t>
            </w:r>
          </w:p>
        </w:tc>
        <w:tc>
          <w:tcPr>
            <w:tcW w:w="640" w:type="dxa"/>
            <w:tcBorders>
              <w:top w:val="nil"/>
              <w:left w:val="nil"/>
              <w:bottom w:val="nil"/>
              <w:right w:val="nil"/>
            </w:tcBorders>
            <w:shd w:val="clear" w:color="000000" w:fill="FFFFFF"/>
            <w:noWrap/>
            <w:vAlign w:val="bottom"/>
            <w:hideMark/>
          </w:tcPr>
          <w:p w14:paraId="5396416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11.0</w:t>
            </w:r>
          </w:p>
        </w:tc>
        <w:tc>
          <w:tcPr>
            <w:tcW w:w="1040" w:type="dxa"/>
            <w:tcBorders>
              <w:top w:val="nil"/>
              <w:left w:val="single" w:sz="4" w:space="0" w:color="auto"/>
              <w:bottom w:val="nil"/>
              <w:right w:val="single" w:sz="4" w:space="0" w:color="auto"/>
            </w:tcBorders>
            <w:shd w:val="clear" w:color="000000" w:fill="FFFFFF"/>
            <w:noWrap/>
            <w:vAlign w:val="bottom"/>
            <w:hideMark/>
          </w:tcPr>
          <w:p w14:paraId="4657D0D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36.7</w:t>
            </w:r>
          </w:p>
        </w:tc>
        <w:tc>
          <w:tcPr>
            <w:tcW w:w="1000" w:type="dxa"/>
            <w:tcBorders>
              <w:top w:val="nil"/>
              <w:left w:val="nil"/>
              <w:bottom w:val="nil"/>
              <w:right w:val="nil"/>
            </w:tcBorders>
            <w:shd w:val="clear" w:color="000000" w:fill="FFFFFF"/>
            <w:noWrap/>
            <w:vAlign w:val="bottom"/>
            <w:hideMark/>
          </w:tcPr>
          <w:p w14:paraId="31F328A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w:t>
            </w:r>
          </w:p>
        </w:tc>
        <w:tc>
          <w:tcPr>
            <w:tcW w:w="720" w:type="dxa"/>
            <w:tcBorders>
              <w:top w:val="nil"/>
              <w:left w:val="nil"/>
              <w:bottom w:val="nil"/>
              <w:right w:val="nil"/>
            </w:tcBorders>
            <w:shd w:val="clear" w:color="000000" w:fill="FFFFFF"/>
            <w:noWrap/>
            <w:vAlign w:val="bottom"/>
            <w:hideMark/>
          </w:tcPr>
          <w:p w14:paraId="586AC3F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5.1</w:t>
            </w:r>
          </w:p>
        </w:tc>
        <w:tc>
          <w:tcPr>
            <w:tcW w:w="1060" w:type="dxa"/>
            <w:tcBorders>
              <w:top w:val="nil"/>
              <w:left w:val="single" w:sz="4" w:space="0" w:color="auto"/>
              <w:bottom w:val="nil"/>
              <w:right w:val="single" w:sz="4" w:space="0" w:color="auto"/>
            </w:tcBorders>
            <w:shd w:val="clear" w:color="000000" w:fill="FFFFFF"/>
            <w:noWrap/>
            <w:vAlign w:val="bottom"/>
            <w:hideMark/>
          </w:tcPr>
          <w:p w14:paraId="12ECB0E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13.6</w:t>
            </w:r>
          </w:p>
        </w:tc>
      </w:tr>
      <w:tr w:rsidR="00252FCD" w:rsidRPr="007C740F" w14:paraId="7836221B" w14:textId="77777777" w:rsidTr="00252FCD">
        <w:trPr>
          <w:trHeight w:val="300"/>
          <w:jc w:val="center"/>
        </w:trPr>
        <w:tc>
          <w:tcPr>
            <w:tcW w:w="1007" w:type="dxa"/>
            <w:tcBorders>
              <w:top w:val="nil"/>
              <w:left w:val="single" w:sz="4" w:space="0" w:color="auto"/>
              <w:bottom w:val="nil"/>
              <w:right w:val="nil"/>
            </w:tcBorders>
            <w:shd w:val="clear" w:color="auto" w:fill="auto"/>
            <w:noWrap/>
            <w:vAlign w:val="bottom"/>
            <w:hideMark/>
          </w:tcPr>
          <w:p w14:paraId="6A71D8DD"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WPR</w:t>
            </w:r>
          </w:p>
        </w:tc>
        <w:tc>
          <w:tcPr>
            <w:tcW w:w="840" w:type="dxa"/>
            <w:tcBorders>
              <w:top w:val="nil"/>
              <w:left w:val="single" w:sz="4" w:space="0" w:color="auto"/>
              <w:bottom w:val="nil"/>
              <w:right w:val="nil"/>
            </w:tcBorders>
            <w:shd w:val="clear" w:color="auto" w:fill="auto"/>
            <w:noWrap/>
            <w:vAlign w:val="bottom"/>
            <w:hideMark/>
          </w:tcPr>
          <w:p w14:paraId="2C99788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18,004</w:t>
            </w:r>
          </w:p>
        </w:tc>
        <w:tc>
          <w:tcPr>
            <w:tcW w:w="640" w:type="dxa"/>
            <w:tcBorders>
              <w:top w:val="nil"/>
              <w:left w:val="nil"/>
              <w:bottom w:val="nil"/>
              <w:right w:val="single" w:sz="4" w:space="0" w:color="auto"/>
            </w:tcBorders>
            <w:shd w:val="clear" w:color="auto" w:fill="auto"/>
            <w:noWrap/>
            <w:vAlign w:val="bottom"/>
            <w:hideMark/>
          </w:tcPr>
          <w:p w14:paraId="16B13ED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11.5</w:t>
            </w:r>
          </w:p>
        </w:tc>
        <w:tc>
          <w:tcPr>
            <w:tcW w:w="1000" w:type="dxa"/>
            <w:tcBorders>
              <w:top w:val="nil"/>
              <w:left w:val="nil"/>
              <w:bottom w:val="nil"/>
              <w:right w:val="nil"/>
            </w:tcBorders>
            <w:shd w:val="clear" w:color="000000" w:fill="FFFFFF"/>
            <w:noWrap/>
            <w:vAlign w:val="bottom"/>
            <w:hideMark/>
          </w:tcPr>
          <w:p w14:paraId="28C389C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25.5</w:t>
            </w:r>
          </w:p>
        </w:tc>
        <w:tc>
          <w:tcPr>
            <w:tcW w:w="640" w:type="dxa"/>
            <w:tcBorders>
              <w:top w:val="nil"/>
              <w:left w:val="nil"/>
              <w:bottom w:val="nil"/>
              <w:right w:val="nil"/>
            </w:tcBorders>
            <w:shd w:val="clear" w:color="000000" w:fill="FFFFFF"/>
            <w:noWrap/>
            <w:vAlign w:val="bottom"/>
            <w:hideMark/>
          </w:tcPr>
          <w:p w14:paraId="708882E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6.4</w:t>
            </w:r>
          </w:p>
        </w:tc>
        <w:tc>
          <w:tcPr>
            <w:tcW w:w="1040" w:type="dxa"/>
            <w:tcBorders>
              <w:top w:val="nil"/>
              <w:left w:val="single" w:sz="4" w:space="0" w:color="auto"/>
              <w:bottom w:val="nil"/>
              <w:right w:val="single" w:sz="4" w:space="0" w:color="auto"/>
            </w:tcBorders>
            <w:shd w:val="clear" w:color="000000" w:fill="FFFFFF"/>
            <w:noWrap/>
            <w:vAlign w:val="bottom"/>
            <w:hideMark/>
          </w:tcPr>
          <w:p w14:paraId="4013F22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31.8</w:t>
            </w:r>
          </w:p>
        </w:tc>
        <w:tc>
          <w:tcPr>
            <w:tcW w:w="1000" w:type="dxa"/>
            <w:tcBorders>
              <w:top w:val="nil"/>
              <w:left w:val="nil"/>
              <w:bottom w:val="nil"/>
              <w:right w:val="nil"/>
            </w:tcBorders>
            <w:shd w:val="clear" w:color="000000" w:fill="FFFFFF"/>
            <w:noWrap/>
            <w:vAlign w:val="bottom"/>
            <w:hideMark/>
          </w:tcPr>
          <w:p w14:paraId="583D883A"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w:t>
            </w:r>
          </w:p>
        </w:tc>
        <w:tc>
          <w:tcPr>
            <w:tcW w:w="720" w:type="dxa"/>
            <w:tcBorders>
              <w:top w:val="nil"/>
              <w:left w:val="nil"/>
              <w:bottom w:val="nil"/>
              <w:right w:val="nil"/>
            </w:tcBorders>
            <w:shd w:val="clear" w:color="000000" w:fill="FFFFFF"/>
            <w:noWrap/>
            <w:vAlign w:val="bottom"/>
            <w:hideMark/>
          </w:tcPr>
          <w:p w14:paraId="4B9FEC8A"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w:t>
            </w:r>
          </w:p>
        </w:tc>
        <w:tc>
          <w:tcPr>
            <w:tcW w:w="1060" w:type="dxa"/>
            <w:tcBorders>
              <w:top w:val="nil"/>
              <w:left w:val="single" w:sz="4" w:space="0" w:color="auto"/>
              <w:bottom w:val="nil"/>
              <w:right w:val="single" w:sz="4" w:space="0" w:color="auto"/>
            </w:tcBorders>
            <w:shd w:val="clear" w:color="000000" w:fill="FFFFFF"/>
            <w:noWrap/>
            <w:vAlign w:val="bottom"/>
            <w:hideMark/>
          </w:tcPr>
          <w:p w14:paraId="5142514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w:t>
            </w:r>
          </w:p>
        </w:tc>
      </w:tr>
      <w:tr w:rsidR="00252FCD" w:rsidRPr="007C740F" w14:paraId="286B618F" w14:textId="77777777" w:rsidTr="00252FCD">
        <w:trPr>
          <w:trHeight w:val="315"/>
          <w:jc w:val="center"/>
        </w:trPr>
        <w:tc>
          <w:tcPr>
            <w:tcW w:w="1007" w:type="dxa"/>
            <w:tcBorders>
              <w:top w:val="single" w:sz="4" w:space="0" w:color="auto"/>
              <w:left w:val="single" w:sz="4" w:space="0" w:color="auto"/>
              <w:bottom w:val="double" w:sz="6" w:space="0" w:color="auto"/>
              <w:right w:val="nil"/>
            </w:tcBorders>
            <w:shd w:val="clear" w:color="auto" w:fill="auto"/>
            <w:noWrap/>
            <w:vAlign w:val="center"/>
            <w:hideMark/>
          </w:tcPr>
          <w:p w14:paraId="4FC760EA"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World</w:t>
            </w:r>
          </w:p>
        </w:tc>
        <w:tc>
          <w:tcPr>
            <w:tcW w:w="840" w:type="dxa"/>
            <w:tcBorders>
              <w:top w:val="single" w:sz="4" w:space="0" w:color="auto"/>
              <w:left w:val="single" w:sz="4" w:space="0" w:color="auto"/>
              <w:bottom w:val="double" w:sz="6" w:space="0" w:color="auto"/>
              <w:right w:val="nil"/>
            </w:tcBorders>
            <w:shd w:val="clear" w:color="auto" w:fill="auto"/>
            <w:noWrap/>
            <w:vAlign w:val="center"/>
            <w:hideMark/>
          </w:tcPr>
          <w:p w14:paraId="2EDDDBA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133,962</w:t>
            </w:r>
          </w:p>
        </w:tc>
        <w:tc>
          <w:tcPr>
            <w:tcW w:w="640" w:type="dxa"/>
            <w:tcBorders>
              <w:top w:val="single" w:sz="4" w:space="0" w:color="auto"/>
              <w:left w:val="nil"/>
              <w:bottom w:val="double" w:sz="6" w:space="0" w:color="auto"/>
              <w:right w:val="single" w:sz="4" w:space="0" w:color="auto"/>
            </w:tcBorders>
            <w:shd w:val="clear" w:color="auto" w:fill="auto"/>
            <w:noWrap/>
            <w:vAlign w:val="center"/>
            <w:hideMark/>
          </w:tcPr>
          <w:p w14:paraId="103F9B8A"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37.8</w:t>
            </w:r>
          </w:p>
        </w:tc>
        <w:tc>
          <w:tcPr>
            <w:tcW w:w="1000" w:type="dxa"/>
            <w:tcBorders>
              <w:top w:val="single" w:sz="4" w:space="0" w:color="auto"/>
              <w:left w:val="nil"/>
              <w:bottom w:val="double" w:sz="6" w:space="0" w:color="auto"/>
              <w:right w:val="nil"/>
            </w:tcBorders>
            <w:shd w:val="clear" w:color="000000" w:fill="FFFFFF"/>
            <w:noWrap/>
            <w:vAlign w:val="center"/>
            <w:hideMark/>
          </w:tcPr>
          <w:p w14:paraId="733EADC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25.1</w:t>
            </w:r>
          </w:p>
        </w:tc>
        <w:tc>
          <w:tcPr>
            <w:tcW w:w="640" w:type="dxa"/>
            <w:tcBorders>
              <w:top w:val="single" w:sz="4" w:space="0" w:color="auto"/>
              <w:left w:val="nil"/>
              <w:bottom w:val="double" w:sz="6" w:space="0" w:color="auto"/>
              <w:right w:val="nil"/>
            </w:tcBorders>
            <w:shd w:val="clear" w:color="000000" w:fill="FFFFFF"/>
            <w:noWrap/>
            <w:vAlign w:val="center"/>
            <w:hideMark/>
          </w:tcPr>
          <w:p w14:paraId="469CE74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14.3</w:t>
            </w:r>
          </w:p>
        </w:tc>
        <w:tc>
          <w:tcPr>
            <w:tcW w:w="1040"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0C60AB8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39.4</w:t>
            </w:r>
          </w:p>
        </w:tc>
        <w:tc>
          <w:tcPr>
            <w:tcW w:w="1000" w:type="dxa"/>
            <w:tcBorders>
              <w:top w:val="single" w:sz="4" w:space="0" w:color="auto"/>
              <w:left w:val="nil"/>
              <w:bottom w:val="double" w:sz="6" w:space="0" w:color="auto"/>
              <w:right w:val="nil"/>
            </w:tcBorders>
            <w:shd w:val="clear" w:color="000000" w:fill="FFFFFF"/>
            <w:noWrap/>
            <w:vAlign w:val="center"/>
            <w:hideMark/>
          </w:tcPr>
          <w:p w14:paraId="73A0A6F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7.0</w:t>
            </w:r>
          </w:p>
        </w:tc>
        <w:tc>
          <w:tcPr>
            <w:tcW w:w="720" w:type="dxa"/>
            <w:tcBorders>
              <w:top w:val="single" w:sz="4" w:space="0" w:color="auto"/>
              <w:left w:val="nil"/>
              <w:bottom w:val="double" w:sz="6" w:space="0" w:color="auto"/>
              <w:right w:val="nil"/>
            </w:tcBorders>
            <w:shd w:val="clear" w:color="000000" w:fill="FFFFFF"/>
            <w:noWrap/>
            <w:vAlign w:val="center"/>
            <w:hideMark/>
          </w:tcPr>
          <w:p w14:paraId="75314A08"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6.8</w:t>
            </w:r>
          </w:p>
        </w:tc>
        <w:tc>
          <w:tcPr>
            <w:tcW w:w="1060"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EF2170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13.8</w:t>
            </w:r>
          </w:p>
        </w:tc>
      </w:tr>
      <w:tr w:rsidR="00252FCD" w:rsidRPr="007C740F" w14:paraId="38D3DC6F" w14:textId="77777777" w:rsidTr="00252FCD">
        <w:trPr>
          <w:trHeight w:val="315"/>
          <w:jc w:val="center"/>
        </w:trPr>
        <w:tc>
          <w:tcPr>
            <w:tcW w:w="1007" w:type="dxa"/>
            <w:tcBorders>
              <w:top w:val="nil"/>
              <w:left w:val="single" w:sz="4" w:space="0" w:color="auto"/>
              <w:bottom w:val="single" w:sz="4" w:space="0" w:color="auto"/>
              <w:right w:val="nil"/>
            </w:tcBorders>
            <w:shd w:val="clear" w:color="auto" w:fill="auto"/>
            <w:noWrap/>
            <w:vAlign w:val="center"/>
            <w:hideMark/>
          </w:tcPr>
          <w:p w14:paraId="3A8A6CF6"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 Europe</w:t>
            </w:r>
          </w:p>
        </w:tc>
        <w:tc>
          <w:tcPr>
            <w:tcW w:w="840" w:type="dxa"/>
            <w:tcBorders>
              <w:top w:val="nil"/>
              <w:left w:val="single" w:sz="4" w:space="0" w:color="auto"/>
              <w:bottom w:val="single" w:sz="4" w:space="0" w:color="auto"/>
              <w:right w:val="nil"/>
            </w:tcBorders>
            <w:shd w:val="clear" w:color="auto" w:fill="auto"/>
            <w:noWrap/>
            <w:vAlign w:val="center"/>
            <w:hideMark/>
          </w:tcPr>
          <w:p w14:paraId="6B82F42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4,054</w:t>
            </w:r>
          </w:p>
        </w:tc>
        <w:tc>
          <w:tcPr>
            <w:tcW w:w="640" w:type="dxa"/>
            <w:tcBorders>
              <w:top w:val="nil"/>
              <w:left w:val="nil"/>
              <w:bottom w:val="single" w:sz="4" w:space="0" w:color="auto"/>
              <w:right w:val="single" w:sz="4" w:space="0" w:color="auto"/>
            </w:tcBorders>
            <w:shd w:val="clear" w:color="auto" w:fill="auto"/>
            <w:noWrap/>
            <w:vAlign w:val="center"/>
            <w:hideMark/>
          </w:tcPr>
          <w:p w14:paraId="19DE683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1000" w:type="dxa"/>
            <w:tcBorders>
              <w:top w:val="nil"/>
              <w:left w:val="nil"/>
              <w:bottom w:val="single" w:sz="4" w:space="0" w:color="auto"/>
              <w:right w:val="nil"/>
            </w:tcBorders>
            <w:shd w:val="clear" w:color="000000" w:fill="FFFFFF"/>
            <w:noWrap/>
            <w:vAlign w:val="center"/>
            <w:hideMark/>
          </w:tcPr>
          <w:p w14:paraId="0452032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26.2</w:t>
            </w:r>
          </w:p>
        </w:tc>
        <w:tc>
          <w:tcPr>
            <w:tcW w:w="640" w:type="dxa"/>
            <w:tcBorders>
              <w:top w:val="nil"/>
              <w:left w:val="nil"/>
              <w:bottom w:val="single" w:sz="4" w:space="0" w:color="auto"/>
              <w:right w:val="nil"/>
            </w:tcBorders>
            <w:shd w:val="clear" w:color="000000" w:fill="FFFFFF"/>
            <w:noWrap/>
            <w:vAlign w:val="center"/>
            <w:hideMark/>
          </w:tcPr>
          <w:p w14:paraId="594F562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5.9</w:t>
            </w:r>
          </w:p>
        </w:tc>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53A889A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32.2</w:t>
            </w:r>
          </w:p>
        </w:tc>
        <w:tc>
          <w:tcPr>
            <w:tcW w:w="1000" w:type="dxa"/>
            <w:tcBorders>
              <w:top w:val="nil"/>
              <w:left w:val="nil"/>
              <w:bottom w:val="single" w:sz="4" w:space="0" w:color="auto"/>
              <w:right w:val="nil"/>
            </w:tcBorders>
            <w:shd w:val="clear" w:color="000000" w:fill="FFFFFF"/>
            <w:noWrap/>
            <w:vAlign w:val="center"/>
            <w:hideMark/>
          </w:tcPr>
          <w:p w14:paraId="03B5BF1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720" w:type="dxa"/>
            <w:tcBorders>
              <w:top w:val="nil"/>
              <w:left w:val="nil"/>
              <w:bottom w:val="single" w:sz="4" w:space="0" w:color="auto"/>
              <w:right w:val="nil"/>
            </w:tcBorders>
            <w:shd w:val="clear" w:color="000000" w:fill="FFFFFF"/>
            <w:noWrap/>
            <w:vAlign w:val="center"/>
            <w:hideMark/>
          </w:tcPr>
          <w:p w14:paraId="6E6F71C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w:t>
            </w:r>
          </w:p>
        </w:tc>
        <w:tc>
          <w:tcPr>
            <w:tcW w:w="1060" w:type="dxa"/>
            <w:tcBorders>
              <w:top w:val="nil"/>
              <w:left w:val="single" w:sz="4" w:space="0" w:color="auto"/>
              <w:bottom w:val="single" w:sz="4" w:space="0" w:color="auto"/>
              <w:right w:val="single" w:sz="4" w:space="0" w:color="auto"/>
            </w:tcBorders>
            <w:shd w:val="clear" w:color="000000" w:fill="FFFFFF"/>
            <w:noWrap/>
            <w:vAlign w:val="center"/>
            <w:hideMark/>
          </w:tcPr>
          <w:p w14:paraId="446D86A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w:t>
            </w:r>
          </w:p>
        </w:tc>
      </w:tr>
    </w:tbl>
    <w:p w14:paraId="345BCB1C" w14:textId="2C7CCC08" w:rsidR="00BA4913" w:rsidRPr="007C740F" w:rsidRDefault="00BA4913" w:rsidP="00BA4913">
      <w:pPr>
        <w:pStyle w:val="Tableheader"/>
      </w:pPr>
      <w:r w:rsidRPr="007C740F">
        <w:t xml:space="preserve">Table </w:t>
      </w:r>
      <w:r w:rsidR="00BB060D" w:rsidRPr="007C740F">
        <w:t>3</w:t>
      </w:r>
      <w:r w:rsidRPr="007C740F">
        <w:t>. MDG 2020-24. Global estimates of annual baseline births of congenital anomalies and single gene disorders, and attributable under-5 deaths.</w:t>
      </w:r>
    </w:p>
    <w:tbl>
      <w:tblPr>
        <w:tblW w:w="6675" w:type="dxa"/>
        <w:jc w:val="center"/>
        <w:tblLook w:val="04A0" w:firstRow="1" w:lastRow="0" w:firstColumn="1" w:lastColumn="0" w:noHBand="0" w:noVBand="1"/>
      </w:tblPr>
      <w:tblGrid>
        <w:gridCol w:w="960"/>
        <w:gridCol w:w="1020"/>
        <w:gridCol w:w="945"/>
        <w:gridCol w:w="945"/>
        <w:gridCol w:w="980"/>
        <w:gridCol w:w="880"/>
        <w:gridCol w:w="945"/>
      </w:tblGrid>
      <w:tr w:rsidR="00252FCD" w:rsidRPr="007C740F" w14:paraId="1AACEB23" w14:textId="77777777" w:rsidTr="00252FCD">
        <w:trPr>
          <w:trHeight w:val="284"/>
          <w:jc w:val="center"/>
        </w:trPr>
        <w:tc>
          <w:tcPr>
            <w:tcW w:w="960" w:type="dxa"/>
            <w:vMerge w:val="restart"/>
            <w:tcBorders>
              <w:top w:val="single" w:sz="4" w:space="0" w:color="auto"/>
              <w:left w:val="single" w:sz="4" w:space="0" w:color="auto"/>
              <w:right w:val="single" w:sz="4" w:space="0" w:color="auto"/>
            </w:tcBorders>
            <w:shd w:val="clear" w:color="auto" w:fill="auto"/>
            <w:vAlign w:val="bottom"/>
          </w:tcPr>
          <w:p w14:paraId="5C8E2132" w14:textId="3BB60AD4" w:rsidR="00252FCD" w:rsidRPr="007C740F" w:rsidRDefault="00252FCD" w:rsidP="00252FCD">
            <w:pPr>
              <w:spacing w:after="0" w:line="240" w:lineRule="auto"/>
              <w:rPr>
                <w:rFonts w:ascii="Calibri Light" w:eastAsia="Times New Roman" w:hAnsi="Calibri Light" w:cs="Calibri Light"/>
                <w:color w:val="000000"/>
                <w:sz w:val="18"/>
                <w:szCs w:val="18"/>
                <w:lang w:eastAsia="en-GB"/>
              </w:rPr>
            </w:pPr>
            <w:r w:rsidRPr="007C740F">
              <w:rPr>
                <w:rFonts w:ascii="Calibri Light" w:eastAsia="Times New Roman" w:hAnsi="Calibri Light" w:cs="Calibri Light"/>
                <w:color w:val="000000"/>
                <w:sz w:val="18"/>
                <w:szCs w:val="18"/>
                <w:lang w:eastAsia="en-GB"/>
              </w:rPr>
              <w:t>WHO  region</w:t>
            </w:r>
          </w:p>
        </w:tc>
        <w:tc>
          <w:tcPr>
            <w:tcW w:w="2910"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4741559D" w14:textId="5BC9384A"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Annual baseline births</w:t>
            </w:r>
          </w:p>
        </w:tc>
        <w:tc>
          <w:tcPr>
            <w:tcW w:w="2805" w:type="dxa"/>
            <w:gridSpan w:val="3"/>
            <w:tcBorders>
              <w:top w:val="single" w:sz="4" w:space="0" w:color="auto"/>
              <w:left w:val="nil"/>
              <w:bottom w:val="single" w:sz="4" w:space="0" w:color="auto"/>
              <w:right w:val="single" w:sz="4" w:space="0" w:color="auto"/>
            </w:tcBorders>
            <w:shd w:val="clear" w:color="000000" w:fill="FFFFFF"/>
            <w:vAlign w:val="bottom"/>
          </w:tcPr>
          <w:p w14:paraId="11F90E79" w14:textId="1FEF2F30"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Annual under-5 deaths</w:t>
            </w:r>
          </w:p>
        </w:tc>
      </w:tr>
      <w:tr w:rsidR="00252FCD" w:rsidRPr="007C740F" w14:paraId="7D9C59DA" w14:textId="77777777" w:rsidTr="00252FCD">
        <w:trPr>
          <w:trHeight w:val="284"/>
          <w:jc w:val="center"/>
        </w:trPr>
        <w:tc>
          <w:tcPr>
            <w:tcW w:w="960" w:type="dxa"/>
            <w:vMerge/>
            <w:tcBorders>
              <w:left w:val="single" w:sz="4" w:space="0" w:color="auto"/>
              <w:bottom w:val="single" w:sz="4" w:space="0" w:color="auto"/>
              <w:right w:val="single" w:sz="4" w:space="0" w:color="auto"/>
            </w:tcBorders>
            <w:shd w:val="clear" w:color="auto" w:fill="auto"/>
            <w:vAlign w:val="bottom"/>
            <w:hideMark/>
          </w:tcPr>
          <w:p w14:paraId="7ADCACBB" w14:textId="48D558A2" w:rsidR="00252FCD" w:rsidRPr="007C740F" w:rsidRDefault="00252FCD" w:rsidP="00252FCD">
            <w:pPr>
              <w:spacing w:after="0" w:line="240" w:lineRule="auto"/>
              <w:rPr>
                <w:rFonts w:ascii="Calibri Light" w:eastAsia="Times New Roman" w:hAnsi="Calibri Light" w:cs="Calibri Light"/>
                <w:color w:val="000000"/>
                <w:sz w:val="18"/>
                <w:szCs w:val="18"/>
                <w:lang w:eastAsia="en-GB"/>
              </w:rPr>
            </w:pPr>
          </w:p>
        </w:tc>
        <w:tc>
          <w:tcPr>
            <w:tcW w:w="1020" w:type="dxa"/>
            <w:tcBorders>
              <w:top w:val="single" w:sz="4" w:space="0" w:color="auto"/>
              <w:left w:val="single" w:sz="4" w:space="0" w:color="auto"/>
              <w:bottom w:val="single" w:sz="4" w:space="0" w:color="auto"/>
              <w:right w:val="nil"/>
            </w:tcBorders>
            <w:shd w:val="clear" w:color="000000" w:fill="FFFFFF"/>
            <w:vAlign w:val="bottom"/>
            <w:hideMark/>
          </w:tcPr>
          <w:p w14:paraId="7EDB8AD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congenital anomalies</w:t>
            </w:r>
          </w:p>
        </w:tc>
        <w:tc>
          <w:tcPr>
            <w:tcW w:w="945" w:type="dxa"/>
            <w:tcBorders>
              <w:top w:val="single" w:sz="4" w:space="0" w:color="auto"/>
              <w:left w:val="nil"/>
              <w:bottom w:val="single" w:sz="4" w:space="0" w:color="auto"/>
              <w:right w:val="nil"/>
            </w:tcBorders>
            <w:shd w:val="clear" w:color="000000" w:fill="FFFFFF"/>
            <w:vAlign w:val="bottom"/>
            <w:hideMark/>
          </w:tcPr>
          <w:p w14:paraId="4769BB7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single gene</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496C9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 &amp; single gene</w:t>
            </w:r>
          </w:p>
        </w:tc>
        <w:tc>
          <w:tcPr>
            <w:tcW w:w="980" w:type="dxa"/>
            <w:tcBorders>
              <w:top w:val="single" w:sz="4" w:space="0" w:color="auto"/>
              <w:left w:val="nil"/>
              <w:bottom w:val="single" w:sz="4" w:space="0" w:color="auto"/>
              <w:right w:val="nil"/>
            </w:tcBorders>
            <w:shd w:val="clear" w:color="000000" w:fill="FFFFFF"/>
            <w:vAlign w:val="bottom"/>
            <w:hideMark/>
          </w:tcPr>
          <w:p w14:paraId="21D8BF9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congenital anomalies</w:t>
            </w:r>
          </w:p>
        </w:tc>
        <w:tc>
          <w:tcPr>
            <w:tcW w:w="880" w:type="dxa"/>
            <w:tcBorders>
              <w:top w:val="single" w:sz="4" w:space="0" w:color="auto"/>
              <w:left w:val="nil"/>
              <w:bottom w:val="single" w:sz="4" w:space="0" w:color="auto"/>
              <w:right w:val="nil"/>
            </w:tcBorders>
            <w:shd w:val="clear" w:color="auto" w:fill="auto"/>
            <w:vAlign w:val="bottom"/>
            <w:hideMark/>
          </w:tcPr>
          <w:p w14:paraId="1339F32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single gene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29C2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 &amp; single gene</w:t>
            </w:r>
          </w:p>
        </w:tc>
      </w:tr>
      <w:tr w:rsidR="00252FCD" w:rsidRPr="007C740F" w14:paraId="74A9B4D6"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7230056A"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AFR</w:t>
            </w:r>
          </w:p>
        </w:tc>
        <w:tc>
          <w:tcPr>
            <w:tcW w:w="1020" w:type="dxa"/>
            <w:tcBorders>
              <w:top w:val="nil"/>
              <w:left w:val="single" w:sz="4" w:space="0" w:color="auto"/>
              <w:bottom w:val="nil"/>
              <w:right w:val="nil"/>
            </w:tcBorders>
            <w:shd w:val="clear" w:color="000000" w:fill="FFFFFF"/>
            <w:noWrap/>
            <w:vAlign w:val="bottom"/>
            <w:hideMark/>
          </w:tcPr>
          <w:p w14:paraId="374CB23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939,400</w:t>
            </w:r>
          </w:p>
        </w:tc>
        <w:tc>
          <w:tcPr>
            <w:tcW w:w="945" w:type="dxa"/>
            <w:tcBorders>
              <w:top w:val="nil"/>
              <w:left w:val="nil"/>
              <w:bottom w:val="nil"/>
              <w:right w:val="nil"/>
            </w:tcBorders>
            <w:shd w:val="clear" w:color="000000" w:fill="FFFFFF"/>
            <w:noWrap/>
            <w:vAlign w:val="bottom"/>
            <w:hideMark/>
          </w:tcPr>
          <w:p w14:paraId="145DA17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805,779</w:t>
            </w:r>
          </w:p>
        </w:tc>
        <w:tc>
          <w:tcPr>
            <w:tcW w:w="945" w:type="dxa"/>
            <w:tcBorders>
              <w:top w:val="nil"/>
              <w:left w:val="single" w:sz="4" w:space="0" w:color="auto"/>
              <w:bottom w:val="nil"/>
              <w:right w:val="single" w:sz="4" w:space="0" w:color="auto"/>
            </w:tcBorders>
            <w:shd w:val="clear" w:color="000000" w:fill="FFFFFF"/>
            <w:noWrap/>
            <w:vAlign w:val="bottom"/>
            <w:hideMark/>
          </w:tcPr>
          <w:p w14:paraId="67079ED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1,745,179</w:t>
            </w:r>
          </w:p>
        </w:tc>
        <w:tc>
          <w:tcPr>
            <w:tcW w:w="980" w:type="dxa"/>
            <w:tcBorders>
              <w:top w:val="nil"/>
              <w:left w:val="nil"/>
              <w:bottom w:val="nil"/>
              <w:right w:val="nil"/>
            </w:tcBorders>
            <w:shd w:val="clear" w:color="000000" w:fill="FFFFFF"/>
            <w:noWrap/>
            <w:vAlign w:val="bottom"/>
            <w:hideMark/>
          </w:tcPr>
          <w:p w14:paraId="2A6513F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408,654</w:t>
            </w:r>
          </w:p>
        </w:tc>
        <w:tc>
          <w:tcPr>
            <w:tcW w:w="880" w:type="dxa"/>
            <w:tcBorders>
              <w:top w:val="nil"/>
              <w:left w:val="nil"/>
              <w:bottom w:val="nil"/>
              <w:right w:val="nil"/>
            </w:tcBorders>
            <w:shd w:val="clear" w:color="auto" w:fill="auto"/>
            <w:noWrap/>
            <w:vAlign w:val="bottom"/>
            <w:hideMark/>
          </w:tcPr>
          <w:p w14:paraId="02BCBD1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437,563</w:t>
            </w:r>
          </w:p>
        </w:tc>
        <w:tc>
          <w:tcPr>
            <w:tcW w:w="945" w:type="dxa"/>
            <w:tcBorders>
              <w:top w:val="nil"/>
              <w:left w:val="single" w:sz="4" w:space="0" w:color="auto"/>
              <w:bottom w:val="nil"/>
              <w:right w:val="single" w:sz="4" w:space="0" w:color="auto"/>
            </w:tcBorders>
            <w:shd w:val="clear" w:color="auto" w:fill="auto"/>
            <w:noWrap/>
            <w:vAlign w:val="bottom"/>
            <w:hideMark/>
          </w:tcPr>
          <w:p w14:paraId="1DAF99B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846,217</w:t>
            </w:r>
          </w:p>
        </w:tc>
      </w:tr>
      <w:tr w:rsidR="00252FCD" w:rsidRPr="007C740F" w14:paraId="3C0A217C"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2D8B6A08"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AMR</w:t>
            </w:r>
          </w:p>
        </w:tc>
        <w:tc>
          <w:tcPr>
            <w:tcW w:w="1020" w:type="dxa"/>
            <w:tcBorders>
              <w:top w:val="nil"/>
              <w:left w:val="single" w:sz="4" w:space="0" w:color="auto"/>
              <w:bottom w:val="nil"/>
              <w:right w:val="nil"/>
            </w:tcBorders>
            <w:shd w:val="clear" w:color="000000" w:fill="FFFFFF"/>
            <w:noWrap/>
            <w:vAlign w:val="bottom"/>
            <w:hideMark/>
          </w:tcPr>
          <w:p w14:paraId="586F8B2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356,269</w:t>
            </w:r>
          </w:p>
        </w:tc>
        <w:tc>
          <w:tcPr>
            <w:tcW w:w="945" w:type="dxa"/>
            <w:tcBorders>
              <w:top w:val="nil"/>
              <w:left w:val="nil"/>
              <w:bottom w:val="nil"/>
              <w:right w:val="nil"/>
            </w:tcBorders>
            <w:shd w:val="clear" w:color="000000" w:fill="FFFFFF"/>
            <w:noWrap/>
            <w:vAlign w:val="bottom"/>
            <w:hideMark/>
          </w:tcPr>
          <w:p w14:paraId="4A3A0D4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86,994</w:t>
            </w:r>
          </w:p>
        </w:tc>
        <w:tc>
          <w:tcPr>
            <w:tcW w:w="945" w:type="dxa"/>
            <w:tcBorders>
              <w:top w:val="nil"/>
              <w:left w:val="single" w:sz="4" w:space="0" w:color="auto"/>
              <w:bottom w:val="nil"/>
              <w:right w:val="single" w:sz="4" w:space="0" w:color="auto"/>
            </w:tcBorders>
            <w:shd w:val="clear" w:color="000000" w:fill="FFFFFF"/>
            <w:noWrap/>
            <w:vAlign w:val="bottom"/>
            <w:hideMark/>
          </w:tcPr>
          <w:p w14:paraId="301BC91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443,263</w:t>
            </w:r>
          </w:p>
        </w:tc>
        <w:tc>
          <w:tcPr>
            <w:tcW w:w="980" w:type="dxa"/>
            <w:tcBorders>
              <w:top w:val="nil"/>
              <w:left w:val="nil"/>
              <w:bottom w:val="nil"/>
              <w:right w:val="nil"/>
            </w:tcBorders>
            <w:shd w:val="clear" w:color="000000" w:fill="FFFFFF"/>
            <w:noWrap/>
            <w:vAlign w:val="bottom"/>
            <w:hideMark/>
          </w:tcPr>
          <w:p w14:paraId="34FE339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28,102</w:t>
            </w:r>
          </w:p>
        </w:tc>
        <w:tc>
          <w:tcPr>
            <w:tcW w:w="880" w:type="dxa"/>
            <w:tcBorders>
              <w:top w:val="nil"/>
              <w:left w:val="nil"/>
              <w:bottom w:val="nil"/>
              <w:right w:val="nil"/>
            </w:tcBorders>
            <w:shd w:val="clear" w:color="auto" w:fill="auto"/>
            <w:noWrap/>
            <w:vAlign w:val="bottom"/>
            <w:hideMark/>
          </w:tcPr>
          <w:p w14:paraId="170E4FE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28,037</w:t>
            </w:r>
          </w:p>
        </w:tc>
        <w:tc>
          <w:tcPr>
            <w:tcW w:w="945" w:type="dxa"/>
            <w:tcBorders>
              <w:top w:val="nil"/>
              <w:left w:val="single" w:sz="4" w:space="0" w:color="auto"/>
              <w:bottom w:val="nil"/>
              <w:right w:val="single" w:sz="4" w:space="0" w:color="auto"/>
            </w:tcBorders>
            <w:shd w:val="clear" w:color="auto" w:fill="auto"/>
            <w:noWrap/>
            <w:vAlign w:val="bottom"/>
            <w:hideMark/>
          </w:tcPr>
          <w:p w14:paraId="1B1CD453"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56,139</w:t>
            </w:r>
          </w:p>
        </w:tc>
      </w:tr>
      <w:tr w:rsidR="00252FCD" w:rsidRPr="007C740F" w14:paraId="70C479EC"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6BB367C3"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EMR</w:t>
            </w:r>
          </w:p>
        </w:tc>
        <w:tc>
          <w:tcPr>
            <w:tcW w:w="1020" w:type="dxa"/>
            <w:tcBorders>
              <w:top w:val="nil"/>
              <w:left w:val="single" w:sz="4" w:space="0" w:color="auto"/>
              <w:bottom w:val="nil"/>
              <w:right w:val="nil"/>
            </w:tcBorders>
            <w:shd w:val="clear" w:color="000000" w:fill="FFFFFF"/>
            <w:noWrap/>
            <w:vAlign w:val="bottom"/>
            <w:hideMark/>
          </w:tcPr>
          <w:p w14:paraId="5CA09C4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479,810</w:t>
            </w:r>
          </w:p>
        </w:tc>
        <w:tc>
          <w:tcPr>
            <w:tcW w:w="945" w:type="dxa"/>
            <w:tcBorders>
              <w:top w:val="nil"/>
              <w:left w:val="nil"/>
              <w:bottom w:val="nil"/>
              <w:right w:val="nil"/>
            </w:tcBorders>
            <w:shd w:val="clear" w:color="000000" w:fill="FFFFFF"/>
            <w:noWrap/>
            <w:vAlign w:val="bottom"/>
            <w:hideMark/>
          </w:tcPr>
          <w:p w14:paraId="1897193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458,337</w:t>
            </w:r>
          </w:p>
        </w:tc>
        <w:tc>
          <w:tcPr>
            <w:tcW w:w="945" w:type="dxa"/>
            <w:tcBorders>
              <w:top w:val="nil"/>
              <w:left w:val="single" w:sz="4" w:space="0" w:color="auto"/>
              <w:bottom w:val="nil"/>
              <w:right w:val="single" w:sz="4" w:space="0" w:color="auto"/>
            </w:tcBorders>
            <w:shd w:val="clear" w:color="000000" w:fill="FFFFFF"/>
            <w:noWrap/>
            <w:vAlign w:val="bottom"/>
            <w:hideMark/>
          </w:tcPr>
          <w:p w14:paraId="77AE53C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938,147</w:t>
            </w:r>
          </w:p>
        </w:tc>
        <w:tc>
          <w:tcPr>
            <w:tcW w:w="980" w:type="dxa"/>
            <w:tcBorders>
              <w:top w:val="nil"/>
              <w:left w:val="nil"/>
              <w:bottom w:val="nil"/>
              <w:right w:val="nil"/>
            </w:tcBorders>
            <w:shd w:val="clear" w:color="000000" w:fill="FFFFFF"/>
            <w:noWrap/>
            <w:vAlign w:val="bottom"/>
            <w:hideMark/>
          </w:tcPr>
          <w:p w14:paraId="75CFDC9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160,263</w:t>
            </w:r>
          </w:p>
        </w:tc>
        <w:tc>
          <w:tcPr>
            <w:tcW w:w="880" w:type="dxa"/>
            <w:tcBorders>
              <w:top w:val="nil"/>
              <w:left w:val="nil"/>
              <w:bottom w:val="nil"/>
              <w:right w:val="nil"/>
            </w:tcBorders>
            <w:shd w:val="clear" w:color="auto" w:fill="auto"/>
            <w:noWrap/>
            <w:vAlign w:val="bottom"/>
            <w:hideMark/>
          </w:tcPr>
          <w:p w14:paraId="424F7A9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215,856</w:t>
            </w:r>
          </w:p>
        </w:tc>
        <w:tc>
          <w:tcPr>
            <w:tcW w:w="945" w:type="dxa"/>
            <w:tcBorders>
              <w:top w:val="nil"/>
              <w:left w:val="single" w:sz="4" w:space="0" w:color="auto"/>
              <w:bottom w:val="nil"/>
              <w:right w:val="single" w:sz="4" w:space="0" w:color="auto"/>
            </w:tcBorders>
            <w:shd w:val="clear" w:color="auto" w:fill="auto"/>
            <w:noWrap/>
            <w:vAlign w:val="bottom"/>
            <w:hideMark/>
          </w:tcPr>
          <w:p w14:paraId="7E1E703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376,119</w:t>
            </w:r>
          </w:p>
        </w:tc>
      </w:tr>
      <w:tr w:rsidR="00252FCD" w:rsidRPr="007C740F" w14:paraId="24DF8D63"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3C86418E"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EUR</w:t>
            </w:r>
          </w:p>
        </w:tc>
        <w:tc>
          <w:tcPr>
            <w:tcW w:w="1020" w:type="dxa"/>
            <w:tcBorders>
              <w:top w:val="nil"/>
              <w:left w:val="single" w:sz="4" w:space="0" w:color="auto"/>
              <w:bottom w:val="nil"/>
              <w:right w:val="nil"/>
            </w:tcBorders>
            <w:shd w:val="clear" w:color="000000" w:fill="FFFFFF"/>
            <w:noWrap/>
            <w:vAlign w:val="bottom"/>
            <w:hideMark/>
          </w:tcPr>
          <w:p w14:paraId="058DB0F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265,872</w:t>
            </w:r>
          </w:p>
        </w:tc>
        <w:tc>
          <w:tcPr>
            <w:tcW w:w="945" w:type="dxa"/>
            <w:tcBorders>
              <w:top w:val="nil"/>
              <w:left w:val="nil"/>
              <w:bottom w:val="nil"/>
              <w:right w:val="nil"/>
            </w:tcBorders>
            <w:shd w:val="clear" w:color="000000" w:fill="FFFFFF"/>
            <w:noWrap/>
            <w:vAlign w:val="bottom"/>
            <w:hideMark/>
          </w:tcPr>
          <w:p w14:paraId="27C9C48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84,788</w:t>
            </w:r>
          </w:p>
        </w:tc>
        <w:tc>
          <w:tcPr>
            <w:tcW w:w="945" w:type="dxa"/>
            <w:tcBorders>
              <w:top w:val="nil"/>
              <w:left w:val="single" w:sz="4" w:space="0" w:color="auto"/>
              <w:bottom w:val="nil"/>
              <w:right w:val="single" w:sz="4" w:space="0" w:color="auto"/>
            </w:tcBorders>
            <w:shd w:val="clear" w:color="000000" w:fill="FFFFFF"/>
            <w:noWrap/>
            <w:vAlign w:val="bottom"/>
            <w:hideMark/>
          </w:tcPr>
          <w:p w14:paraId="0286152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350,660</w:t>
            </w:r>
          </w:p>
        </w:tc>
        <w:tc>
          <w:tcPr>
            <w:tcW w:w="980" w:type="dxa"/>
            <w:tcBorders>
              <w:top w:val="nil"/>
              <w:left w:val="nil"/>
              <w:bottom w:val="nil"/>
              <w:right w:val="nil"/>
            </w:tcBorders>
            <w:shd w:val="clear" w:color="000000" w:fill="FFFFFF"/>
            <w:noWrap/>
            <w:vAlign w:val="bottom"/>
            <w:hideMark/>
          </w:tcPr>
          <w:p w14:paraId="6CE5B73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12,049</w:t>
            </w:r>
          </w:p>
        </w:tc>
        <w:tc>
          <w:tcPr>
            <w:tcW w:w="880" w:type="dxa"/>
            <w:tcBorders>
              <w:top w:val="nil"/>
              <w:left w:val="nil"/>
              <w:bottom w:val="nil"/>
              <w:right w:val="nil"/>
            </w:tcBorders>
            <w:shd w:val="clear" w:color="auto" w:fill="auto"/>
            <w:noWrap/>
            <w:vAlign w:val="bottom"/>
            <w:hideMark/>
          </w:tcPr>
          <w:p w14:paraId="43B3324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24,996</w:t>
            </w:r>
          </w:p>
        </w:tc>
        <w:tc>
          <w:tcPr>
            <w:tcW w:w="945" w:type="dxa"/>
            <w:tcBorders>
              <w:top w:val="nil"/>
              <w:left w:val="single" w:sz="4" w:space="0" w:color="auto"/>
              <w:bottom w:val="nil"/>
              <w:right w:val="single" w:sz="4" w:space="0" w:color="auto"/>
            </w:tcBorders>
            <w:shd w:val="clear" w:color="auto" w:fill="auto"/>
            <w:noWrap/>
            <w:vAlign w:val="bottom"/>
            <w:hideMark/>
          </w:tcPr>
          <w:p w14:paraId="4C9C57C2"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37,045</w:t>
            </w:r>
          </w:p>
        </w:tc>
      </w:tr>
      <w:tr w:rsidR="00252FCD" w:rsidRPr="007C740F" w14:paraId="369F55E2"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2F3FD5A0"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SEAR</w:t>
            </w:r>
          </w:p>
        </w:tc>
        <w:tc>
          <w:tcPr>
            <w:tcW w:w="1020" w:type="dxa"/>
            <w:tcBorders>
              <w:top w:val="nil"/>
              <w:left w:val="single" w:sz="4" w:space="0" w:color="auto"/>
              <w:bottom w:val="nil"/>
              <w:right w:val="nil"/>
            </w:tcBorders>
            <w:shd w:val="clear" w:color="000000" w:fill="FFFFFF"/>
            <w:noWrap/>
            <w:vAlign w:val="bottom"/>
            <w:hideMark/>
          </w:tcPr>
          <w:p w14:paraId="3EF3199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857,921</w:t>
            </w:r>
          </w:p>
        </w:tc>
        <w:tc>
          <w:tcPr>
            <w:tcW w:w="945" w:type="dxa"/>
            <w:tcBorders>
              <w:top w:val="nil"/>
              <w:left w:val="nil"/>
              <w:bottom w:val="nil"/>
              <w:right w:val="nil"/>
            </w:tcBorders>
            <w:shd w:val="clear" w:color="000000" w:fill="FFFFFF"/>
            <w:noWrap/>
            <w:vAlign w:val="bottom"/>
            <w:hideMark/>
          </w:tcPr>
          <w:p w14:paraId="0F2A889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369,156</w:t>
            </w:r>
          </w:p>
        </w:tc>
        <w:tc>
          <w:tcPr>
            <w:tcW w:w="945" w:type="dxa"/>
            <w:tcBorders>
              <w:top w:val="nil"/>
              <w:left w:val="single" w:sz="4" w:space="0" w:color="auto"/>
              <w:bottom w:val="nil"/>
              <w:right w:val="single" w:sz="4" w:space="0" w:color="auto"/>
            </w:tcBorders>
            <w:shd w:val="clear" w:color="000000" w:fill="FFFFFF"/>
            <w:noWrap/>
            <w:vAlign w:val="bottom"/>
            <w:hideMark/>
          </w:tcPr>
          <w:p w14:paraId="6DC783B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1,227,076</w:t>
            </w:r>
          </w:p>
        </w:tc>
        <w:tc>
          <w:tcPr>
            <w:tcW w:w="980" w:type="dxa"/>
            <w:tcBorders>
              <w:top w:val="nil"/>
              <w:left w:val="nil"/>
              <w:bottom w:val="nil"/>
              <w:right w:val="nil"/>
            </w:tcBorders>
            <w:shd w:val="clear" w:color="000000" w:fill="FFFFFF"/>
            <w:noWrap/>
            <w:vAlign w:val="bottom"/>
            <w:hideMark/>
          </w:tcPr>
          <w:p w14:paraId="1A14E26B"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284,659</w:t>
            </w:r>
          </w:p>
        </w:tc>
        <w:tc>
          <w:tcPr>
            <w:tcW w:w="880" w:type="dxa"/>
            <w:tcBorders>
              <w:top w:val="nil"/>
              <w:left w:val="nil"/>
              <w:bottom w:val="nil"/>
              <w:right w:val="nil"/>
            </w:tcBorders>
            <w:shd w:val="clear" w:color="auto" w:fill="auto"/>
            <w:noWrap/>
            <w:vAlign w:val="bottom"/>
            <w:hideMark/>
          </w:tcPr>
          <w:p w14:paraId="2E3EDBBE"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170,523</w:t>
            </w:r>
          </w:p>
        </w:tc>
        <w:tc>
          <w:tcPr>
            <w:tcW w:w="945" w:type="dxa"/>
            <w:tcBorders>
              <w:top w:val="nil"/>
              <w:left w:val="single" w:sz="4" w:space="0" w:color="auto"/>
              <w:bottom w:val="nil"/>
              <w:right w:val="single" w:sz="4" w:space="0" w:color="auto"/>
            </w:tcBorders>
            <w:shd w:val="clear" w:color="auto" w:fill="auto"/>
            <w:noWrap/>
            <w:vAlign w:val="bottom"/>
            <w:hideMark/>
          </w:tcPr>
          <w:p w14:paraId="3C80DCB1"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455,182</w:t>
            </w:r>
          </w:p>
        </w:tc>
      </w:tr>
      <w:tr w:rsidR="00252FCD" w:rsidRPr="007C740F" w14:paraId="677508FC" w14:textId="77777777" w:rsidTr="00252FCD">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14:paraId="19AE81F1"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WPR</w:t>
            </w:r>
          </w:p>
        </w:tc>
        <w:tc>
          <w:tcPr>
            <w:tcW w:w="1020" w:type="dxa"/>
            <w:tcBorders>
              <w:top w:val="nil"/>
              <w:left w:val="single" w:sz="4" w:space="0" w:color="auto"/>
              <w:bottom w:val="nil"/>
              <w:right w:val="nil"/>
            </w:tcBorders>
            <w:shd w:val="clear" w:color="000000" w:fill="FFFFFF"/>
            <w:noWrap/>
            <w:vAlign w:val="bottom"/>
            <w:hideMark/>
          </w:tcPr>
          <w:p w14:paraId="56BBAEE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458,261</w:t>
            </w:r>
          </w:p>
        </w:tc>
        <w:tc>
          <w:tcPr>
            <w:tcW w:w="945" w:type="dxa"/>
            <w:tcBorders>
              <w:top w:val="nil"/>
              <w:left w:val="nil"/>
              <w:bottom w:val="nil"/>
              <w:right w:val="nil"/>
            </w:tcBorders>
            <w:shd w:val="clear" w:color="000000" w:fill="FFFFFF"/>
            <w:noWrap/>
            <w:vAlign w:val="bottom"/>
            <w:hideMark/>
          </w:tcPr>
          <w:p w14:paraId="793292A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114,751</w:t>
            </w:r>
          </w:p>
        </w:tc>
        <w:tc>
          <w:tcPr>
            <w:tcW w:w="945" w:type="dxa"/>
            <w:tcBorders>
              <w:top w:val="nil"/>
              <w:left w:val="single" w:sz="4" w:space="0" w:color="auto"/>
              <w:bottom w:val="nil"/>
              <w:right w:val="single" w:sz="4" w:space="0" w:color="auto"/>
            </w:tcBorders>
            <w:shd w:val="clear" w:color="000000" w:fill="FFFFFF"/>
            <w:noWrap/>
            <w:vAlign w:val="bottom"/>
            <w:hideMark/>
          </w:tcPr>
          <w:p w14:paraId="2431520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573,013</w:t>
            </w:r>
          </w:p>
        </w:tc>
        <w:tc>
          <w:tcPr>
            <w:tcW w:w="980" w:type="dxa"/>
            <w:tcBorders>
              <w:top w:val="nil"/>
              <w:left w:val="nil"/>
              <w:bottom w:val="nil"/>
              <w:right w:val="nil"/>
            </w:tcBorders>
            <w:shd w:val="clear" w:color="000000" w:fill="FFFFFF"/>
            <w:noWrap/>
            <w:vAlign w:val="bottom"/>
            <w:hideMark/>
          </w:tcPr>
          <w:p w14:paraId="1325DC3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42,266</w:t>
            </w:r>
          </w:p>
        </w:tc>
        <w:tc>
          <w:tcPr>
            <w:tcW w:w="880" w:type="dxa"/>
            <w:tcBorders>
              <w:top w:val="nil"/>
              <w:left w:val="nil"/>
              <w:bottom w:val="nil"/>
              <w:right w:val="nil"/>
            </w:tcBorders>
            <w:shd w:val="clear" w:color="auto" w:fill="auto"/>
            <w:noWrap/>
            <w:vAlign w:val="bottom"/>
            <w:hideMark/>
          </w:tcPr>
          <w:p w14:paraId="2E7F2BB6"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38,262</w:t>
            </w:r>
          </w:p>
        </w:tc>
        <w:tc>
          <w:tcPr>
            <w:tcW w:w="945" w:type="dxa"/>
            <w:tcBorders>
              <w:top w:val="nil"/>
              <w:left w:val="single" w:sz="4" w:space="0" w:color="auto"/>
              <w:bottom w:val="nil"/>
              <w:right w:val="single" w:sz="4" w:space="0" w:color="auto"/>
            </w:tcBorders>
            <w:shd w:val="clear" w:color="auto" w:fill="auto"/>
            <w:noWrap/>
            <w:vAlign w:val="bottom"/>
            <w:hideMark/>
          </w:tcPr>
          <w:p w14:paraId="5FBCC24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80,528</w:t>
            </w:r>
          </w:p>
        </w:tc>
      </w:tr>
      <w:tr w:rsidR="00252FCD" w:rsidRPr="007C740F" w14:paraId="21B72F3A" w14:textId="77777777" w:rsidTr="00252FCD">
        <w:trPr>
          <w:trHeight w:val="315"/>
          <w:jc w:val="center"/>
        </w:trPr>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FE68F6E"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World</w:t>
            </w:r>
          </w:p>
        </w:tc>
        <w:tc>
          <w:tcPr>
            <w:tcW w:w="1020" w:type="dxa"/>
            <w:tcBorders>
              <w:top w:val="single" w:sz="4" w:space="0" w:color="auto"/>
              <w:left w:val="single" w:sz="4" w:space="0" w:color="auto"/>
              <w:bottom w:val="double" w:sz="6" w:space="0" w:color="auto"/>
              <w:right w:val="nil"/>
            </w:tcBorders>
            <w:shd w:val="clear" w:color="000000" w:fill="FFFFFF"/>
            <w:noWrap/>
            <w:vAlign w:val="center"/>
            <w:hideMark/>
          </w:tcPr>
          <w:p w14:paraId="1B19274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3,357,533</w:t>
            </w:r>
          </w:p>
        </w:tc>
        <w:tc>
          <w:tcPr>
            <w:tcW w:w="945" w:type="dxa"/>
            <w:tcBorders>
              <w:top w:val="single" w:sz="4" w:space="0" w:color="auto"/>
              <w:left w:val="nil"/>
              <w:bottom w:val="double" w:sz="6" w:space="0" w:color="auto"/>
              <w:right w:val="nil"/>
            </w:tcBorders>
            <w:shd w:val="clear" w:color="000000" w:fill="FFFFFF"/>
            <w:noWrap/>
            <w:vAlign w:val="center"/>
            <w:hideMark/>
          </w:tcPr>
          <w:p w14:paraId="2F05CBF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1,919,806</w:t>
            </w:r>
          </w:p>
        </w:tc>
        <w:tc>
          <w:tcPr>
            <w:tcW w:w="945"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0C6E29B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5,277,339</w:t>
            </w:r>
          </w:p>
        </w:tc>
        <w:tc>
          <w:tcPr>
            <w:tcW w:w="980" w:type="dxa"/>
            <w:tcBorders>
              <w:top w:val="single" w:sz="4" w:space="0" w:color="auto"/>
              <w:left w:val="nil"/>
              <w:bottom w:val="double" w:sz="6" w:space="0" w:color="auto"/>
              <w:right w:val="nil"/>
            </w:tcBorders>
            <w:shd w:val="clear" w:color="000000" w:fill="FFFFFF"/>
            <w:noWrap/>
            <w:vAlign w:val="center"/>
            <w:hideMark/>
          </w:tcPr>
          <w:p w14:paraId="7942C4F7"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935,993</w:t>
            </w:r>
          </w:p>
        </w:tc>
        <w:tc>
          <w:tcPr>
            <w:tcW w:w="880" w:type="dxa"/>
            <w:tcBorders>
              <w:top w:val="single" w:sz="4" w:space="0" w:color="auto"/>
              <w:left w:val="nil"/>
              <w:bottom w:val="double" w:sz="6" w:space="0" w:color="auto"/>
              <w:right w:val="nil"/>
            </w:tcBorders>
            <w:shd w:val="clear" w:color="auto" w:fill="auto"/>
            <w:noWrap/>
            <w:vAlign w:val="center"/>
            <w:hideMark/>
          </w:tcPr>
          <w:p w14:paraId="118B2B20"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915,237</w:t>
            </w:r>
          </w:p>
        </w:tc>
        <w:tc>
          <w:tcPr>
            <w:tcW w:w="94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302139D"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1,851,230</w:t>
            </w:r>
          </w:p>
        </w:tc>
      </w:tr>
      <w:tr w:rsidR="00252FCD" w:rsidRPr="007C740F" w14:paraId="1470A4D1" w14:textId="77777777" w:rsidTr="00252FCD">
        <w:trPr>
          <w:trHeight w:val="315"/>
          <w:jc w:val="center"/>
        </w:trPr>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B9B7899" w14:textId="77777777" w:rsidR="00252FCD" w:rsidRPr="007C740F" w:rsidRDefault="00252FCD" w:rsidP="00252FC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 Europe</w:t>
            </w:r>
          </w:p>
        </w:tc>
        <w:tc>
          <w:tcPr>
            <w:tcW w:w="1020" w:type="dxa"/>
            <w:tcBorders>
              <w:top w:val="nil"/>
              <w:left w:val="single" w:sz="4" w:space="0" w:color="auto"/>
              <w:bottom w:val="single" w:sz="4" w:space="0" w:color="auto"/>
              <w:right w:val="nil"/>
            </w:tcBorders>
            <w:shd w:val="clear" w:color="000000" w:fill="FFFFFF"/>
            <w:noWrap/>
            <w:vAlign w:val="center"/>
            <w:hideMark/>
          </w:tcPr>
          <w:p w14:paraId="666E45B8"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106,418</w:t>
            </w:r>
          </w:p>
        </w:tc>
        <w:tc>
          <w:tcPr>
            <w:tcW w:w="945" w:type="dxa"/>
            <w:tcBorders>
              <w:top w:val="nil"/>
              <w:left w:val="nil"/>
              <w:bottom w:val="single" w:sz="4" w:space="0" w:color="auto"/>
              <w:right w:val="nil"/>
            </w:tcBorders>
            <w:shd w:val="clear" w:color="000000" w:fill="FFFFFF"/>
            <w:noWrap/>
            <w:vAlign w:val="center"/>
            <w:hideMark/>
          </w:tcPr>
          <w:p w14:paraId="2F759044"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23,949</w:t>
            </w:r>
          </w:p>
        </w:tc>
        <w:tc>
          <w:tcPr>
            <w:tcW w:w="945" w:type="dxa"/>
            <w:tcBorders>
              <w:top w:val="nil"/>
              <w:left w:val="single" w:sz="4" w:space="0" w:color="auto"/>
              <w:bottom w:val="single" w:sz="4" w:space="0" w:color="auto"/>
              <w:right w:val="single" w:sz="4" w:space="0" w:color="auto"/>
            </w:tcBorders>
            <w:shd w:val="clear" w:color="000000" w:fill="FFFFFF"/>
            <w:noWrap/>
            <w:vAlign w:val="center"/>
            <w:hideMark/>
          </w:tcPr>
          <w:p w14:paraId="4C2C542C"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130,366</w:t>
            </w:r>
          </w:p>
        </w:tc>
        <w:tc>
          <w:tcPr>
            <w:tcW w:w="980" w:type="dxa"/>
            <w:tcBorders>
              <w:top w:val="nil"/>
              <w:left w:val="nil"/>
              <w:bottom w:val="single" w:sz="4" w:space="0" w:color="auto"/>
              <w:right w:val="nil"/>
            </w:tcBorders>
            <w:shd w:val="clear" w:color="000000" w:fill="FFFFFF"/>
            <w:noWrap/>
            <w:vAlign w:val="center"/>
            <w:hideMark/>
          </w:tcPr>
          <w:p w14:paraId="5BA60329"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2,728</w:t>
            </w:r>
          </w:p>
        </w:tc>
        <w:tc>
          <w:tcPr>
            <w:tcW w:w="880" w:type="dxa"/>
            <w:tcBorders>
              <w:top w:val="nil"/>
              <w:left w:val="nil"/>
              <w:bottom w:val="single" w:sz="4" w:space="0" w:color="auto"/>
              <w:right w:val="nil"/>
            </w:tcBorders>
            <w:shd w:val="clear" w:color="auto" w:fill="auto"/>
            <w:noWrap/>
            <w:vAlign w:val="center"/>
            <w:hideMark/>
          </w:tcPr>
          <w:p w14:paraId="0AD41A4F"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6,908</w:t>
            </w: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0601F715" w14:textId="77777777" w:rsidR="00252FCD" w:rsidRPr="007C740F" w:rsidRDefault="00252FCD" w:rsidP="00252FC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9,636</w:t>
            </w:r>
          </w:p>
        </w:tc>
      </w:tr>
    </w:tbl>
    <w:p w14:paraId="41D7ECB2" w14:textId="77777777" w:rsidR="0005700A" w:rsidRPr="007C740F" w:rsidRDefault="0005700A" w:rsidP="00C34C04">
      <w:pPr>
        <w:pStyle w:val="Heading1"/>
      </w:pPr>
      <w:bookmarkStart w:id="20" w:name="_Toc193659671"/>
      <w:r w:rsidRPr="007C740F">
        <w:lastRenderedPageBreak/>
        <w:t xml:space="preserve">Interventions </w:t>
      </w:r>
      <w:r w:rsidR="00C34C04" w:rsidRPr="007C740F">
        <w:t>affecting</w:t>
      </w:r>
      <w:r w:rsidR="00871319" w:rsidRPr="007C740F">
        <w:t xml:space="preserve"> endogenous</w:t>
      </w:r>
      <w:r w:rsidRPr="007C740F">
        <w:t xml:space="preserve"> congenital disorders</w:t>
      </w:r>
      <w:bookmarkEnd w:id="20"/>
    </w:p>
    <w:p w14:paraId="13A04979" w14:textId="7E45C918" w:rsidR="00901E15" w:rsidRPr="007C740F" w:rsidRDefault="007D4F68" w:rsidP="001F6D1C">
      <w:pPr>
        <w:pStyle w:val="BodyText1"/>
        <w:jc w:val="both"/>
      </w:pPr>
      <w:r w:rsidRPr="007C740F">
        <w:t xml:space="preserve">Table </w:t>
      </w:r>
      <w:r w:rsidR="008B0B70" w:rsidRPr="007C740F">
        <w:t>4</w:t>
      </w:r>
      <w:r w:rsidR="00C368C7" w:rsidRPr="007C740F">
        <w:t xml:space="preserve"> </w:t>
      </w:r>
      <w:r w:rsidRPr="007C740F">
        <w:t xml:space="preserve">shows </w:t>
      </w:r>
      <w:r w:rsidR="00C368C7" w:rsidRPr="007C740F">
        <w:t xml:space="preserve">the main types of </w:t>
      </w:r>
      <w:r w:rsidRPr="007C740F">
        <w:t>intervention</w:t>
      </w:r>
      <w:r w:rsidR="00F856ED" w:rsidRPr="007C740F">
        <w:t xml:space="preserve"> for prevention and care of</w:t>
      </w:r>
      <w:r w:rsidR="00871319" w:rsidRPr="007C740F">
        <w:t xml:space="preserve"> endogenous</w:t>
      </w:r>
      <w:r w:rsidR="00F856ED" w:rsidRPr="007C740F">
        <w:t xml:space="preserve"> congenital disorders</w:t>
      </w:r>
      <w:r w:rsidRPr="007C740F">
        <w:t xml:space="preserve">, </w:t>
      </w:r>
      <w:r w:rsidR="00AC35D4" w:rsidRPr="007C740F">
        <w:t xml:space="preserve">their </w:t>
      </w:r>
      <w:r w:rsidRPr="007C740F">
        <w:t>timing in relation to pregnancy</w:t>
      </w:r>
      <w:r w:rsidR="00F856ED" w:rsidRPr="007C740F">
        <w:t>,</w:t>
      </w:r>
      <w:r w:rsidRPr="007C740F">
        <w:t xml:space="preserve"> and </w:t>
      </w:r>
      <w:r w:rsidR="00C368C7" w:rsidRPr="007C740F">
        <w:t xml:space="preserve">the method used to estimate </w:t>
      </w:r>
      <w:r w:rsidRPr="007C740F">
        <w:t>their effect</w:t>
      </w:r>
      <w:r w:rsidR="00F856ED" w:rsidRPr="007C740F">
        <w:t>s</w:t>
      </w:r>
      <w:r w:rsidRPr="007C740F">
        <w:t xml:space="preserve">. </w:t>
      </w:r>
      <w:r w:rsidR="00901E15" w:rsidRPr="007C740F">
        <w:t>This section aims to assess their power when fully deployed</w:t>
      </w:r>
      <w:r w:rsidR="00D3004F" w:rsidRPr="007C740F">
        <w:t xml:space="preserve"> and </w:t>
      </w:r>
      <w:r w:rsidR="00901E15" w:rsidRPr="007C740F">
        <w:t>their actual current effect.</w:t>
      </w:r>
    </w:p>
    <w:p w14:paraId="072F7483" w14:textId="0500662B" w:rsidR="007D4F68" w:rsidRPr="007C740F" w:rsidRDefault="007D4F68" w:rsidP="008754D9">
      <w:pPr>
        <w:pStyle w:val="Tableheader"/>
      </w:pPr>
      <w:r w:rsidRPr="007C740F">
        <w:t xml:space="preserve">Table </w:t>
      </w:r>
      <w:r w:rsidR="008B0B70" w:rsidRPr="007C740F">
        <w:t>4</w:t>
      </w:r>
      <w:r w:rsidRPr="007C740F">
        <w:t xml:space="preserve">. Interventions </w:t>
      </w:r>
      <w:r w:rsidR="00D3004F" w:rsidRPr="007C740F">
        <w:t xml:space="preserve">that can </w:t>
      </w:r>
      <w:r w:rsidRPr="007C740F">
        <w:t>reduc</w:t>
      </w:r>
      <w:r w:rsidR="00D3004F" w:rsidRPr="007C740F">
        <w:t>e</w:t>
      </w:r>
      <w:r w:rsidRPr="007C740F">
        <w:t xml:space="preserve"> the burden of</w:t>
      </w:r>
      <w:r w:rsidR="00871319" w:rsidRPr="007C740F">
        <w:t xml:space="preserve"> endogenous</w:t>
      </w:r>
      <w:r w:rsidR="00AC115C" w:rsidRPr="007C740F">
        <w:t xml:space="preserve"> </w:t>
      </w:r>
      <w:r w:rsidRPr="007C740F">
        <w:t>congenital disorders</w:t>
      </w:r>
      <w:r w:rsidR="00C368C7" w:rsidRPr="007C740F">
        <w:t>, and methods for assessing their effects.</w:t>
      </w:r>
    </w:p>
    <w:tbl>
      <w:tblPr>
        <w:tblW w:w="8931" w:type="dxa"/>
        <w:jc w:val="center"/>
        <w:tblLook w:val="04A0" w:firstRow="1" w:lastRow="0" w:firstColumn="1" w:lastColumn="0" w:noHBand="0" w:noVBand="1"/>
      </w:tblPr>
      <w:tblGrid>
        <w:gridCol w:w="1555"/>
        <w:gridCol w:w="3402"/>
        <w:gridCol w:w="3974"/>
      </w:tblGrid>
      <w:tr w:rsidR="00306945" w:rsidRPr="007C740F" w14:paraId="7B6490BA" w14:textId="77777777" w:rsidTr="00F856ED">
        <w:trPr>
          <w:trHeight w:val="284"/>
          <w:jc w:val="center"/>
        </w:trPr>
        <w:tc>
          <w:tcPr>
            <w:tcW w:w="1555" w:type="dxa"/>
            <w:tcBorders>
              <w:top w:val="single" w:sz="4" w:space="0" w:color="auto"/>
              <w:left w:val="single" w:sz="4" w:space="0" w:color="auto"/>
              <w:bottom w:val="nil"/>
              <w:right w:val="nil"/>
            </w:tcBorders>
            <w:shd w:val="clear" w:color="auto" w:fill="auto"/>
            <w:vAlign w:val="center"/>
            <w:hideMark/>
          </w:tcPr>
          <w:p w14:paraId="429578FE" w14:textId="77777777" w:rsidR="00306945" w:rsidRPr="007C740F" w:rsidRDefault="00306945" w:rsidP="008754D9">
            <w:pPr>
              <w:pStyle w:val="BodyText1"/>
              <w:keepNext/>
              <w:spacing w:after="0"/>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Timing in pregnancy</w:t>
            </w:r>
          </w:p>
        </w:tc>
        <w:tc>
          <w:tcPr>
            <w:tcW w:w="3402" w:type="dxa"/>
            <w:tcBorders>
              <w:top w:val="single" w:sz="4" w:space="0" w:color="auto"/>
              <w:left w:val="single" w:sz="4" w:space="0" w:color="auto"/>
              <w:bottom w:val="nil"/>
              <w:right w:val="nil"/>
            </w:tcBorders>
            <w:shd w:val="clear" w:color="auto" w:fill="auto"/>
            <w:vAlign w:val="center"/>
          </w:tcPr>
          <w:p w14:paraId="7B4F72F9" w14:textId="77777777" w:rsidR="00306945" w:rsidRPr="007C740F" w:rsidRDefault="00306945" w:rsidP="008754D9">
            <w:pPr>
              <w:pStyle w:val="BodyText1"/>
              <w:keepNext/>
              <w:spacing w:after="0"/>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Intervention</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ABE55" w14:textId="77777777" w:rsidR="00306945" w:rsidRPr="007C740F" w:rsidRDefault="00306945" w:rsidP="008754D9">
            <w:pPr>
              <w:pStyle w:val="BodyText1"/>
              <w:keepNext/>
              <w:spacing w:after="0"/>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Effect of intervention based on:</w:t>
            </w:r>
          </w:p>
        </w:tc>
      </w:tr>
      <w:tr w:rsidR="00F856ED" w:rsidRPr="007C740F" w14:paraId="438C81A9" w14:textId="77777777" w:rsidTr="00F856ED">
        <w:trPr>
          <w:trHeight w:val="284"/>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5C112535"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Obligatory pre-pregnancy</w:t>
            </w:r>
          </w:p>
        </w:tc>
        <w:tc>
          <w:tcPr>
            <w:tcW w:w="3402" w:type="dxa"/>
            <w:tcBorders>
              <w:top w:val="single" w:sz="4" w:space="0" w:color="auto"/>
              <w:left w:val="single" w:sz="4" w:space="0" w:color="auto"/>
              <w:right w:val="nil"/>
            </w:tcBorders>
            <w:shd w:val="clear" w:color="auto" w:fill="auto"/>
            <w:vAlign w:val="center"/>
            <w:hideMark/>
          </w:tcPr>
          <w:p w14:paraId="18CD42FD"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Folic acid food fortification</w:t>
            </w:r>
          </w:p>
        </w:tc>
        <w:tc>
          <w:tcPr>
            <w:tcW w:w="3974" w:type="dxa"/>
            <w:tcBorders>
              <w:top w:val="single" w:sz="4" w:space="0" w:color="auto"/>
              <w:left w:val="single" w:sz="4" w:space="0" w:color="auto"/>
              <w:right w:val="single" w:sz="4" w:space="0" w:color="auto"/>
            </w:tcBorders>
            <w:shd w:val="clear" w:color="auto" w:fill="auto"/>
            <w:vAlign w:val="center"/>
            <w:hideMark/>
          </w:tcPr>
          <w:p w14:paraId="158FAA7F"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Data on changing prevalence of neural tube defect</w:t>
            </w:r>
          </w:p>
        </w:tc>
      </w:tr>
      <w:tr w:rsidR="00F856ED" w:rsidRPr="007C740F" w14:paraId="6C9E832F" w14:textId="77777777" w:rsidTr="00F856ED">
        <w:trPr>
          <w:trHeight w:val="284"/>
          <w:jc w:val="center"/>
        </w:trPr>
        <w:tc>
          <w:tcPr>
            <w:tcW w:w="1555" w:type="dxa"/>
            <w:vMerge/>
            <w:tcBorders>
              <w:left w:val="single" w:sz="4" w:space="0" w:color="auto"/>
              <w:right w:val="single" w:sz="4" w:space="0" w:color="auto"/>
            </w:tcBorders>
            <w:shd w:val="clear" w:color="auto" w:fill="auto"/>
            <w:vAlign w:val="center"/>
            <w:hideMark/>
          </w:tcPr>
          <w:p w14:paraId="0056FABA"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right w:val="nil"/>
            </w:tcBorders>
            <w:shd w:val="clear" w:color="auto" w:fill="auto"/>
            <w:vAlign w:val="center"/>
            <w:hideMark/>
          </w:tcPr>
          <w:p w14:paraId="23DD6C3E"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Anti-D for rhesus negative mothers</w:t>
            </w:r>
          </w:p>
        </w:tc>
        <w:tc>
          <w:tcPr>
            <w:tcW w:w="3974" w:type="dxa"/>
            <w:tcBorders>
              <w:top w:val="nil"/>
              <w:left w:val="single" w:sz="4" w:space="0" w:color="auto"/>
              <w:right w:val="single" w:sz="4" w:space="0" w:color="auto"/>
            </w:tcBorders>
            <w:shd w:val="clear" w:color="auto" w:fill="auto"/>
            <w:vAlign w:val="center"/>
            <w:hideMark/>
          </w:tcPr>
          <w:p w14:paraId="008E429F"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Estimated access to antenatal care</w:t>
            </w:r>
          </w:p>
        </w:tc>
      </w:tr>
      <w:tr w:rsidR="00F856ED" w:rsidRPr="007C740F" w14:paraId="148CEF42" w14:textId="77777777" w:rsidTr="00F856ED">
        <w:trPr>
          <w:trHeight w:val="284"/>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181B8F79"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bottom w:val="single" w:sz="4" w:space="0" w:color="auto"/>
              <w:right w:val="nil"/>
            </w:tcBorders>
            <w:shd w:val="clear" w:color="auto" w:fill="auto"/>
            <w:vAlign w:val="center"/>
          </w:tcPr>
          <w:p w14:paraId="745BDB76"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Genetic risk assessment and counselling</w:t>
            </w:r>
          </w:p>
        </w:tc>
        <w:tc>
          <w:tcPr>
            <w:tcW w:w="3974" w:type="dxa"/>
            <w:tcBorders>
              <w:top w:val="nil"/>
              <w:left w:val="single" w:sz="4" w:space="0" w:color="auto"/>
              <w:bottom w:val="single" w:sz="4" w:space="0" w:color="auto"/>
              <w:right w:val="single" w:sz="4" w:space="0" w:color="auto"/>
            </w:tcBorders>
            <w:shd w:val="clear" w:color="auto" w:fill="auto"/>
            <w:vAlign w:val="center"/>
          </w:tcPr>
          <w:p w14:paraId="02FF3B27" w14:textId="77777777" w:rsidR="00F856ED"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Basic population genetic theory</w:t>
            </w:r>
          </w:p>
        </w:tc>
      </w:tr>
      <w:tr w:rsidR="00306945" w:rsidRPr="007C740F" w14:paraId="0E566EC1" w14:textId="77777777" w:rsidTr="00F856ED">
        <w:trPr>
          <w:trHeight w:val="284"/>
          <w:jc w:val="center"/>
        </w:trPr>
        <w:tc>
          <w:tcPr>
            <w:tcW w:w="1555" w:type="dxa"/>
            <w:vMerge w:val="restart"/>
            <w:tcBorders>
              <w:left w:val="single" w:sz="4" w:space="0" w:color="auto"/>
              <w:right w:val="single" w:sz="4" w:space="0" w:color="auto"/>
            </w:tcBorders>
            <w:shd w:val="clear" w:color="auto" w:fill="auto"/>
            <w:vAlign w:val="center"/>
            <w:hideMark/>
          </w:tcPr>
          <w:p w14:paraId="7DC37145" w14:textId="77777777" w:rsidR="00306945"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xml:space="preserve">Before </w:t>
            </w:r>
            <w:r w:rsidR="00306945" w:rsidRPr="007C740F">
              <w:rPr>
                <w:rFonts w:ascii="Calibri" w:eastAsia="Times New Roman" w:hAnsi="Calibri" w:cs="Times New Roman"/>
                <w:color w:val="000000"/>
                <w:sz w:val="18"/>
                <w:szCs w:val="18"/>
                <w:lang w:eastAsia="en-GB"/>
              </w:rPr>
              <w:t>or during pregnancy</w:t>
            </w:r>
          </w:p>
        </w:tc>
        <w:tc>
          <w:tcPr>
            <w:tcW w:w="3402" w:type="dxa"/>
            <w:tcBorders>
              <w:top w:val="nil"/>
              <w:left w:val="single" w:sz="4" w:space="0" w:color="auto"/>
              <w:bottom w:val="nil"/>
              <w:right w:val="nil"/>
            </w:tcBorders>
            <w:shd w:val="clear" w:color="auto" w:fill="auto"/>
            <w:vAlign w:val="center"/>
            <w:hideMark/>
          </w:tcPr>
          <w:p w14:paraId="4DDD610C" w14:textId="77777777"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Carrier screening for Hb disorders</w:t>
            </w:r>
          </w:p>
        </w:tc>
        <w:tc>
          <w:tcPr>
            <w:tcW w:w="3974" w:type="dxa"/>
            <w:tcBorders>
              <w:top w:val="nil"/>
              <w:left w:val="single" w:sz="4" w:space="0" w:color="auto"/>
              <w:bottom w:val="nil"/>
              <w:right w:val="single" w:sz="4" w:space="0" w:color="auto"/>
            </w:tcBorders>
            <w:shd w:val="clear" w:color="auto" w:fill="auto"/>
            <w:vAlign w:val="center"/>
            <w:hideMark/>
          </w:tcPr>
          <w:p w14:paraId="40E0E24D" w14:textId="77777777"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Surveillance data from established programmes</w:t>
            </w:r>
          </w:p>
        </w:tc>
      </w:tr>
      <w:tr w:rsidR="00306945" w:rsidRPr="007C740F" w14:paraId="0F469C58" w14:textId="77777777" w:rsidTr="00F856ED">
        <w:trPr>
          <w:trHeight w:val="284"/>
          <w:jc w:val="center"/>
        </w:trPr>
        <w:tc>
          <w:tcPr>
            <w:tcW w:w="1555" w:type="dxa"/>
            <w:vMerge/>
            <w:tcBorders>
              <w:left w:val="single" w:sz="4" w:space="0" w:color="auto"/>
              <w:bottom w:val="single" w:sz="4" w:space="0" w:color="auto"/>
              <w:right w:val="single" w:sz="4" w:space="0" w:color="auto"/>
            </w:tcBorders>
            <w:shd w:val="clear" w:color="auto" w:fill="auto"/>
            <w:vAlign w:val="center"/>
            <w:hideMark/>
          </w:tcPr>
          <w:p w14:paraId="24E3A03B" w14:textId="77777777"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bottom w:val="single" w:sz="4" w:space="0" w:color="auto"/>
              <w:right w:val="nil"/>
            </w:tcBorders>
            <w:shd w:val="clear" w:color="auto" w:fill="auto"/>
            <w:vAlign w:val="center"/>
            <w:hideMark/>
          </w:tcPr>
          <w:p w14:paraId="4B86C12A" w14:textId="77777777" w:rsidR="00306945" w:rsidRPr="007C740F" w:rsidRDefault="00F856ED"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Genetic risk assessment and counselling</w:t>
            </w:r>
          </w:p>
        </w:tc>
        <w:tc>
          <w:tcPr>
            <w:tcW w:w="3974" w:type="dxa"/>
            <w:tcBorders>
              <w:top w:val="nil"/>
              <w:left w:val="single" w:sz="4" w:space="0" w:color="auto"/>
              <w:bottom w:val="single" w:sz="4" w:space="0" w:color="auto"/>
              <w:right w:val="single" w:sz="4" w:space="0" w:color="auto"/>
            </w:tcBorders>
            <w:shd w:val="clear" w:color="auto" w:fill="auto"/>
            <w:vAlign w:val="center"/>
            <w:hideMark/>
          </w:tcPr>
          <w:p w14:paraId="0BAD37E9" w14:textId="77777777"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Basic population genetic theory</w:t>
            </w:r>
          </w:p>
        </w:tc>
      </w:tr>
      <w:tr w:rsidR="00306945" w:rsidRPr="007C740F" w14:paraId="38F6F6E0" w14:textId="77777777" w:rsidTr="00F856ED">
        <w:trPr>
          <w:trHeight w:val="28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8A660" w14:textId="77777777" w:rsidR="00306945" w:rsidRPr="007C740F" w:rsidRDefault="00C34C04"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Only d</w:t>
            </w:r>
            <w:r w:rsidR="00306945" w:rsidRPr="007C740F">
              <w:rPr>
                <w:rFonts w:ascii="Calibri" w:eastAsia="Times New Roman" w:hAnsi="Calibri" w:cs="Times New Roman"/>
                <w:color w:val="000000"/>
                <w:sz w:val="18"/>
                <w:szCs w:val="18"/>
                <w:lang w:eastAsia="en-GB"/>
              </w:rPr>
              <w:t>u</w:t>
            </w:r>
            <w:r w:rsidRPr="007C740F">
              <w:rPr>
                <w:rFonts w:ascii="Calibri" w:eastAsia="Times New Roman" w:hAnsi="Calibri" w:cs="Times New Roman"/>
                <w:color w:val="000000"/>
                <w:sz w:val="18"/>
                <w:szCs w:val="18"/>
                <w:lang w:eastAsia="en-GB"/>
              </w:rPr>
              <w:t>ring pregnancy</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14:paraId="2EC764DB" w14:textId="6D309382"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xml:space="preserve">Prenatal diagnosis (with </w:t>
            </w:r>
            <w:r w:rsidR="00B41119" w:rsidRPr="007C740F">
              <w:rPr>
                <w:rFonts w:ascii="Calibri" w:eastAsia="Times New Roman" w:hAnsi="Calibri" w:cs="Times New Roman"/>
                <w:color w:val="000000"/>
                <w:sz w:val="18"/>
                <w:szCs w:val="18"/>
                <w:lang w:eastAsia="en-GB"/>
              </w:rPr>
              <w:t xml:space="preserve">or without the </w:t>
            </w:r>
            <w:r w:rsidRPr="007C740F">
              <w:rPr>
                <w:rFonts w:ascii="Calibri" w:eastAsia="Times New Roman" w:hAnsi="Calibri" w:cs="Times New Roman"/>
                <w:color w:val="000000"/>
                <w:sz w:val="18"/>
                <w:szCs w:val="18"/>
                <w:lang w:eastAsia="en-GB"/>
              </w:rPr>
              <w:t xml:space="preserve">option of </w:t>
            </w:r>
            <w:r w:rsidR="00F856ED" w:rsidRPr="007C740F">
              <w:rPr>
                <w:rFonts w:ascii="Calibri" w:eastAsia="Times New Roman" w:hAnsi="Calibri" w:cs="Times New Roman"/>
                <w:color w:val="000000"/>
                <w:sz w:val="18"/>
                <w:szCs w:val="18"/>
                <w:lang w:eastAsia="en-GB"/>
              </w:rPr>
              <w:t>termination of pregnancy</w:t>
            </w:r>
            <w:r w:rsidRPr="007C740F">
              <w:rPr>
                <w:rFonts w:ascii="Calibri" w:eastAsia="Times New Roman" w:hAnsi="Calibri" w:cs="Times New Roman"/>
                <w:color w:val="000000"/>
                <w:sz w:val="18"/>
                <w:szCs w:val="18"/>
                <w:lang w:eastAsia="en-GB"/>
              </w:rPr>
              <w:t>)</w:t>
            </w:r>
          </w:p>
          <w:p w14:paraId="52437283" w14:textId="2D0AB821" w:rsidR="00FD65B5" w:rsidRPr="007C740F" w:rsidRDefault="00FD65B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Genetic counselling</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CE9EE" w14:textId="77777777" w:rsidR="00306945" w:rsidRPr="007C740F" w:rsidRDefault="00306945" w:rsidP="008754D9">
            <w:pPr>
              <w:pStyle w:val="BodyText1"/>
              <w:keepNext/>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Surveillance data from high income settings</w:t>
            </w:r>
          </w:p>
        </w:tc>
      </w:tr>
      <w:tr w:rsidR="00306945" w:rsidRPr="007C740F" w14:paraId="171CFB72" w14:textId="77777777" w:rsidTr="00F856ED">
        <w:trPr>
          <w:trHeight w:val="284"/>
          <w:jc w:val="center"/>
        </w:trPr>
        <w:tc>
          <w:tcPr>
            <w:tcW w:w="1555" w:type="dxa"/>
            <w:tcBorders>
              <w:left w:val="single" w:sz="4" w:space="0" w:color="auto"/>
              <w:bottom w:val="single" w:sz="4" w:space="0" w:color="auto"/>
              <w:right w:val="single" w:sz="4" w:space="0" w:color="auto"/>
            </w:tcBorders>
            <w:shd w:val="clear" w:color="auto" w:fill="auto"/>
            <w:vAlign w:val="center"/>
            <w:hideMark/>
          </w:tcPr>
          <w:p w14:paraId="7569B7AE" w14:textId="77777777" w:rsidR="00306945" w:rsidRPr="007C740F" w:rsidRDefault="00306945" w:rsidP="00306945">
            <w:pPr>
              <w:pStyle w:val="BodyText1"/>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After birth</w:t>
            </w:r>
          </w:p>
        </w:tc>
        <w:tc>
          <w:tcPr>
            <w:tcW w:w="3402" w:type="dxa"/>
            <w:tcBorders>
              <w:top w:val="nil"/>
              <w:left w:val="single" w:sz="4" w:space="0" w:color="auto"/>
              <w:bottom w:val="single" w:sz="4" w:space="0" w:color="auto"/>
              <w:right w:val="nil"/>
            </w:tcBorders>
            <w:shd w:val="clear" w:color="auto" w:fill="auto"/>
            <w:vAlign w:val="center"/>
            <w:hideMark/>
          </w:tcPr>
          <w:p w14:paraId="47C9BCFC" w14:textId="7B97C5E1" w:rsidR="00306945" w:rsidRPr="007C740F" w:rsidRDefault="00306945" w:rsidP="00306945">
            <w:pPr>
              <w:pStyle w:val="BodyText1"/>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xml:space="preserve">Early diagnosis and </w:t>
            </w:r>
            <w:r w:rsidR="00CE48DD" w:rsidRPr="007C740F">
              <w:rPr>
                <w:rFonts w:ascii="Calibri" w:eastAsia="Times New Roman" w:hAnsi="Calibri" w:cs="Times New Roman"/>
                <w:color w:val="000000"/>
                <w:sz w:val="18"/>
                <w:szCs w:val="18"/>
                <w:lang w:eastAsia="en-GB"/>
              </w:rPr>
              <w:t xml:space="preserve">access to </w:t>
            </w:r>
          </w:p>
          <w:p w14:paraId="0FCD3B59" w14:textId="3EFB53F3" w:rsidR="000C363D" w:rsidRPr="007C740F" w:rsidRDefault="00D3004F" w:rsidP="00306945">
            <w:pPr>
              <w:pStyle w:val="BodyText1"/>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w:t>
            </w:r>
            <w:r w:rsidR="00EC61CC" w:rsidRPr="007C740F">
              <w:rPr>
                <w:rFonts w:ascii="Calibri" w:eastAsia="Times New Roman" w:hAnsi="Calibri" w:cs="Times New Roman"/>
                <w:color w:val="000000"/>
                <w:sz w:val="18"/>
                <w:szCs w:val="18"/>
                <w:lang w:eastAsia="en-GB"/>
              </w:rPr>
              <w:t>herapeutic or surgical cure</w:t>
            </w:r>
            <w:r w:rsidRPr="007C740F">
              <w:rPr>
                <w:rFonts w:ascii="Calibri" w:eastAsia="Times New Roman" w:hAnsi="Calibri" w:cs="Times New Roman"/>
                <w:color w:val="000000"/>
                <w:sz w:val="18"/>
                <w:szCs w:val="18"/>
                <w:lang w:eastAsia="en-GB"/>
              </w:rPr>
              <w:t>, supportive</w:t>
            </w:r>
          </w:p>
          <w:p w14:paraId="73B87E60" w14:textId="38346342" w:rsidR="00F601BC" w:rsidRPr="007C740F" w:rsidRDefault="00F601BC" w:rsidP="00306945">
            <w:pPr>
              <w:pStyle w:val="BodyText1"/>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care</w:t>
            </w:r>
          </w:p>
        </w:tc>
        <w:tc>
          <w:tcPr>
            <w:tcW w:w="3974" w:type="dxa"/>
            <w:tcBorders>
              <w:top w:val="nil"/>
              <w:left w:val="single" w:sz="4" w:space="0" w:color="auto"/>
              <w:bottom w:val="single" w:sz="4" w:space="0" w:color="auto"/>
              <w:right w:val="single" w:sz="4" w:space="0" w:color="auto"/>
            </w:tcBorders>
            <w:shd w:val="clear" w:color="auto" w:fill="auto"/>
            <w:vAlign w:val="center"/>
            <w:hideMark/>
          </w:tcPr>
          <w:p w14:paraId="07D525EF" w14:textId="77777777" w:rsidR="00306945" w:rsidRPr="007C740F" w:rsidRDefault="00306945" w:rsidP="00306945">
            <w:pPr>
              <w:pStyle w:val="BodyText1"/>
              <w:spacing w:after="0"/>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Reported effect</w:t>
            </w:r>
            <w:r w:rsidR="00C368C7" w:rsidRPr="007C740F">
              <w:rPr>
                <w:rFonts w:ascii="Calibri" w:eastAsia="Times New Roman" w:hAnsi="Calibri" w:cs="Times New Roman"/>
                <w:color w:val="000000"/>
                <w:sz w:val="18"/>
                <w:szCs w:val="18"/>
                <w:lang w:eastAsia="en-GB"/>
              </w:rPr>
              <w:t>s</w:t>
            </w:r>
            <w:r w:rsidRPr="007C740F">
              <w:rPr>
                <w:rFonts w:ascii="Calibri" w:eastAsia="Times New Roman" w:hAnsi="Calibri" w:cs="Times New Roman"/>
                <w:color w:val="000000"/>
                <w:sz w:val="18"/>
                <w:szCs w:val="18"/>
                <w:lang w:eastAsia="en-GB"/>
              </w:rPr>
              <w:t xml:space="preserve"> of care on length and quality of life</w:t>
            </w:r>
          </w:p>
        </w:tc>
      </w:tr>
    </w:tbl>
    <w:p w14:paraId="4DE7120A" w14:textId="77777777" w:rsidR="009F32EE" w:rsidRPr="007C740F" w:rsidRDefault="009F32EE" w:rsidP="009F32EE">
      <w:pPr>
        <w:pStyle w:val="Heading2"/>
      </w:pPr>
      <w:bookmarkStart w:id="21" w:name="_Toc193659672"/>
      <w:r w:rsidRPr="007C740F">
        <w:t>Estimating the power of interventions</w:t>
      </w:r>
      <w:bookmarkEnd w:id="21"/>
    </w:p>
    <w:p w14:paraId="34ABEA5E" w14:textId="40776417" w:rsidR="007D4F68" w:rsidRPr="007C740F" w:rsidRDefault="007D4F68" w:rsidP="001F6D1C">
      <w:pPr>
        <w:pStyle w:val="BodyText1"/>
        <w:jc w:val="both"/>
      </w:pPr>
      <w:r w:rsidRPr="007C740F">
        <w:t xml:space="preserve">The </w:t>
      </w:r>
      <w:r w:rsidR="00AC2D63" w:rsidRPr="007C740F">
        <w:t>power</w:t>
      </w:r>
      <w:r w:rsidR="00AC2D63" w:rsidRPr="007C740F">
        <w:rPr>
          <w:rStyle w:val="FootnoteReference"/>
        </w:rPr>
        <w:footnoteReference w:id="19"/>
      </w:r>
      <w:r w:rsidR="00AC2D63" w:rsidRPr="007C740F">
        <w:t xml:space="preserve"> </w:t>
      </w:r>
      <w:r w:rsidRPr="007C740F">
        <w:t xml:space="preserve">of an intervention can be assessed by comparing outcomes with no care and with </w:t>
      </w:r>
      <w:r w:rsidR="004B097B" w:rsidRPr="007C740F">
        <w:t xml:space="preserve">100% </w:t>
      </w:r>
      <w:r w:rsidR="00CE48DD" w:rsidRPr="007C740F">
        <w:t>access to services</w:t>
      </w:r>
      <w:r w:rsidRPr="007C740F">
        <w:t xml:space="preserve"> in a region with approximately equitable access and </w:t>
      </w:r>
      <w:r w:rsidR="002A52A5" w:rsidRPr="007C740F">
        <w:t>high-quality</w:t>
      </w:r>
      <w:r w:rsidRPr="007C740F">
        <w:t xml:space="preserve"> surveillance</w:t>
      </w:r>
      <w:r w:rsidR="00B45C98" w:rsidRPr="007C740F">
        <w:t xml:space="preserve"> </w:t>
      </w:r>
      <w:r w:rsidR="00B41119" w:rsidRPr="007C740F">
        <w:t>such as</w:t>
      </w:r>
      <w:r w:rsidR="00901E15" w:rsidRPr="007C740F">
        <w:t xml:space="preserve"> </w:t>
      </w:r>
      <w:r w:rsidRPr="007C740F">
        <w:t>Western Europe.</w:t>
      </w:r>
      <w:r w:rsidR="00AC2D63" w:rsidRPr="007C740F">
        <w:t xml:space="preserve"> </w:t>
      </w:r>
      <w:r w:rsidRPr="007C740F">
        <w:t xml:space="preserve">Table </w:t>
      </w:r>
      <w:r w:rsidR="008B0B70" w:rsidRPr="007C740F">
        <w:t>5</w:t>
      </w:r>
      <w:r w:rsidRPr="007C740F">
        <w:t xml:space="preserve"> shows estimates of the power of current interventions </w:t>
      </w:r>
      <w:r w:rsidR="00901E15" w:rsidRPr="007C740F">
        <w:t xml:space="preserve">in </w:t>
      </w:r>
      <w:r w:rsidR="00B41119" w:rsidRPr="007C740F">
        <w:t>this sub-region</w:t>
      </w:r>
      <w:r w:rsidR="00901E15" w:rsidRPr="007C740F">
        <w:t xml:space="preserve"> by disorder group.</w:t>
      </w:r>
      <w:r w:rsidRPr="007C740F">
        <w:t xml:space="preserve"> Collectively </w:t>
      </w:r>
      <w:r w:rsidR="00AC2D63" w:rsidRPr="007C740F">
        <w:t xml:space="preserve">they </w:t>
      </w:r>
      <w:r w:rsidRPr="007C740F">
        <w:t xml:space="preserve">result in an approximately </w:t>
      </w:r>
      <w:r w:rsidR="00CC73BC" w:rsidRPr="007C740F">
        <w:t>60</w:t>
      </w:r>
      <w:r w:rsidRPr="007C740F">
        <w:t>% reduction in fetal deaths</w:t>
      </w:r>
      <w:r w:rsidR="00CC73BC" w:rsidRPr="007C740F">
        <w:t xml:space="preserve"> and </w:t>
      </w:r>
      <w:r w:rsidR="00B41119" w:rsidRPr="007C740F">
        <w:t>more than</w:t>
      </w:r>
      <w:r w:rsidRPr="007C740F">
        <w:t xml:space="preserve"> 80% reduction in under-5 deaths</w:t>
      </w:r>
      <w:r w:rsidR="00B45C98" w:rsidRPr="007C740F">
        <w:t xml:space="preserve"> due to congenital disorders</w:t>
      </w:r>
      <w:r w:rsidR="00CC73BC" w:rsidRPr="007C740F">
        <w:t xml:space="preserve">. </w:t>
      </w:r>
      <w:r w:rsidR="00B41119" w:rsidRPr="007C740F">
        <w:t>T</w:t>
      </w:r>
      <w:r w:rsidR="00B45C98" w:rsidRPr="007C740F">
        <w:t xml:space="preserve">he table </w:t>
      </w:r>
      <w:r w:rsidR="00B41119" w:rsidRPr="007C740F">
        <w:t xml:space="preserve">also </w:t>
      </w:r>
      <w:r w:rsidR="00B45C98" w:rsidRPr="007C740F">
        <w:t>shows wide differences in the effect of interventions on disability</w:t>
      </w:r>
      <w:r w:rsidR="00B41119" w:rsidRPr="007C740F">
        <w:t xml:space="preserve"> because </w:t>
      </w:r>
      <w:r w:rsidR="00B45C98" w:rsidRPr="007C740F">
        <w:t xml:space="preserve">reduced mortality </w:t>
      </w:r>
      <w:r w:rsidR="00B41119" w:rsidRPr="007C740F">
        <w:t xml:space="preserve">often increases the </w:t>
      </w:r>
      <w:r w:rsidR="00B45C98" w:rsidRPr="007C740F">
        <w:t xml:space="preserve">proportion of survivors </w:t>
      </w:r>
      <w:r w:rsidR="00B41119" w:rsidRPr="007C740F">
        <w:t xml:space="preserve">living </w:t>
      </w:r>
      <w:r w:rsidR="00B45C98" w:rsidRPr="007C740F">
        <w:t>with disability at 5 years of age. Furthermore, there is often a very substantial increase in the length and quality of life of these survivors.</w:t>
      </w:r>
    </w:p>
    <w:p w14:paraId="424ADEBB" w14:textId="0775A676" w:rsidR="007D4F68" w:rsidRPr="007C740F" w:rsidRDefault="008B0B70" w:rsidP="008B0B70">
      <w:pPr>
        <w:pStyle w:val="Tableheader"/>
        <w:ind w:left="360"/>
      </w:pPr>
      <w:r w:rsidRPr="007C740F">
        <w:lastRenderedPageBreak/>
        <w:t>T</w:t>
      </w:r>
      <w:r w:rsidR="007D4F68" w:rsidRPr="007C740F">
        <w:t xml:space="preserve">able </w:t>
      </w:r>
      <w:r w:rsidRPr="007C740F">
        <w:t>5</w:t>
      </w:r>
      <w:r w:rsidR="007D4F68" w:rsidRPr="007C740F">
        <w:t>. Estimates for Western Europe of outcomes of</w:t>
      </w:r>
      <w:r w:rsidR="00871319" w:rsidRPr="007C740F">
        <w:t xml:space="preserve"> endogenous</w:t>
      </w:r>
      <w:r w:rsidR="007D4F68" w:rsidRPr="007C740F">
        <w:t xml:space="preserve"> congenital disorders with no care, and with </w:t>
      </w:r>
      <w:r w:rsidR="00CC73BC" w:rsidRPr="007C740F">
        <w:t xml:space="preserve">estimated actual </w:t>
      </w:r>
      <w:r w:rsidR="007D4F68" w:rsidRPr="007C740F">
        <w:t xml:space="preserve">care </w:t>
      </w:r>
      <w:r w:rsidR="00B41119" w:rsidRPr="007C740F">
        <w:t>(</w:t>
      </w:r>
      <w:r w:rsidR="00CC73BC" w:rsidRPr="007C740F">
        <w:t>2020-24</w:t>
      </w:r>
      <w:r w:rsidR="00B41119" w:rsidRPr="007C740F">
        <w:t>)</w:t>
      </w:r>
    </w:p>
    <w:tbl>
      <w:tblPr>
        <w:tblW w:w="10496" w:type="dxa"/>
        <w:jc w:val="center"/>
        <w:tblLayout w:type="fixed"/>
        <w:tblLook w:val="04A0" w:firstRow="1" w:lastRow="0" w:firstColumn="1" w:lastColumn="0" w:noHBand="0" w:noVBand="1"/>
      </w:tblPr>
      <w:tblGrid>
        <w:gridCol w:w="1663"/>
        <w:gridCol w:w="760"/>
        <w:gridCol w:w="639"/>
        <w:gridCol w:w="639"/>
        <w:gridCol w:w="648"/>
        <w:gridCol w:w="846"/>
        <w:gridCol w:w="637"/>
        <w:gridCol w:w="638"/>
        <w:gridCol w:w="782"/>
        <w:gridCol w:w="672"/>
        <w:gridCol w:w="648"/>
        <w:gridCol w:w="638"/>
        <w:gridCol w:w="638"/>
        <w:gridCol w:w="648"/>
      </w:tblGrid>
      <w:tr w:rsidR="00D86592" w:rsidRPr="007C740F" w14:paraId="62508E3C" w14:textId="77777777" w:rsidTr="00A0215E">
        <w:trPr>
          <w:trHeight w:val="465"/>
          <w:jc w:val="center"/>
        </w:trPr>
        <w:tc>
          <w:tcPr>
            <w:tcW w:w="1663" w:type="dxa"/>
            <w:vMerge w:val="restart"/>
            <w:tcBorders>
              <w:top w:val="single" w:sz="4" w:space="0" w:color="auto"/>
              <w:left w:val="single" w:sz="4" w:space="0" w:color="auto"/>
              <w:right w:val="nil"/>
            </w:tcBorders>
            <w:shd w:val="clear" w:color="auto" w:fill="auto"/>
            <w:noWrap/>
            <w:vAlign w:val="bottom"/>
          </w:tcPr>
          <w:p w14:paraId="119E855E" w14:textId="60D50CC0"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Disorder group</w:t>
            </w:r>
          </w:p>
        </w:tc>
        <w:tc>
          <w:tcPr>
            <w:tcW w:w="760" w:type="dxa"/>
            <w:vMerge w:val="restart"/>
            <w:tcBorders>
              <w:top w:val="single" w:sz="4" w:space="0" w:color="auto"/>
              <w:left w:val="single" w:sz="4" w:space="0" w:color="auto"/>
              <w:right w:val="single" w:sz="4" w:space="0" w:color="auto"/>
            </w:tcBorders>
            <w:shd w:val="clear" w:color="auto" w:fill="auto"/>
            <w:vAlign w:val="bottom"/>
          </w:tcPr>
          <w:p w14:paraId="096F1442" w14:textId="5A5B7646"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Baseline births /1,000</w:t>
            </w:r>
          </w:p>
        </w:tc>
        <w:tc>
          <w:tcPr>
            <w:tcW w:w="1926" w:type="dxa"/>
            <w:gridSpan w:val="3"/>
            <w:tcBorders>
              <w:top w:val="single" w:sz="4" w:space="0" w:color="auto"/>
              <w:left w:val="nil"/>
              <w:bottom w:val="single" w:sz="4" w:space="0" w:color="auto"/>
              <w:right w:val="nil"/>
            </w:tcBorders>
            <w:shd w:val="clear" w:color="auto" w:fill="auto"/>
            <w:vAlign w:val="bottom"/>
          </w:tcPr>
          <w:p w14:paraId="2BAF1F7E" w14:textId="0F7BC546"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Baseline (no care) % outcomes</w:t>
            </w:r>
          </w:p>
        </w:tc>
        <w:tc>
          <w:tcPr>
            <w:tcW w:w="42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5EC0AC" w14:textId="5D98DFBC"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outcomes if 100% access to services</w:t>
            </w:r>
          </w:p>
        </w:tc>
        <w:tc>
          <w:tcPr>
            <w:tcW w:w="1924" w:type="dxa"/>
            <w:gridSpan w:val="3"/>
            <w:tcBorders>
              <w:top w:val="single" w:sz="4" w:space="0" w:color="auto"/>
              <w:left w:val="nil"/>
              <w:bottom w:val="single" w:sz="4" w:space="0" w:color="auto"/>
              <w:right w:val="single" w:sz="4" w:space="0" w:color="auto"/>
            </w:tcBorders>
            <w:shd w:val="clear" w:color="auto" w:fill="auto"/>
            <w:vAlign w:val="bottom"/>
          </w:tcPr>
          <w:p w14:paraId="614D01F2" w14:textId="776173C8"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xml:space="preserve">Total % reduction in </w:t>
            </w:r>
            <w:r w:rsidR="00B45C98" w:rsidRPr="007C740F">
              <w:rPr>
                <w:rFonts w:ascii="Calibri" w:eastAsia="Times New Roman" w:hAnsi="Calibri" w:cs="Calibri"/>
                <w:color w:val="000000"/>
                <w:sz w:val="16"/>
                <w:szCs w:val="16"/>
                <w:lang w:eastAsia="en-GB"/>
              </w:rPr>
              <w:t>death and disability</w:t>
            </w:r>
          </w:p>
        </w:tc>
      </w:tr>
      <w:tr w:rsidR="008B0B70" w:rsidRPr="007C740F" w14:paraId="7C49B05C" w14:textId="77777777" w:rsidTr="00A0215E">
        <w:trPr>
          <w:trHeight w:val="465"/>
          <w:jc w:val="center"/>
        </w:trPr>
        <w:tc>
          <w:tcPr>
            <w:tcW w:w="1663" w:type="dxa"/>
            <w:vMerge/>
            <w:tcBorders>
              <w:left w:val="single" w:sz="4" w:space="0" w:color="auto"/>
              <w:bottom w:val="single" w:sz="4" w:space="0" w:color="auto"/>
              <w:right w:val="nil"/>
            </w:tcBorders>
            <w:shd w:val="clear" w:color="auto" w:fill="auto"/>
            <w:noWrap/>
            <w:vAlign w:val="bottom"/>
            <w:hideMark/>
          </w:tcPr>
          <w:p w14:paraId="718E5007" w14:textId="79C39FC4"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760" w:type="dxa"/>
            <w:vMerge/>
            <w:tcBorders>
              <w:left w:val="single" w:sz="4" w:space="0" w:color="auto"/>
              <w:bottom w:val="single" w:sz="4" w:space="0" w:color="auto"/>
              <w:right w:val="single" w:sz="4" w:space="0" w:color="auto"/>
            </w:tcBorders>
            <w:shd w:val="clear" w:color="auto" w:fill="auto"/>
            <w:vAlign w:val="bottom"/>
            <w:hideMark/>
          </w:tcPr>
          <w:p w14:paraId="7BA11819" w14:textId="2716000C"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39" w:type="dxa"/>
            <w:tcBorders>
              <w:top w:val="single" w:sz="4" w:space="0" w:color="auto"/>
              <w:left w:val="nil"/>
              <w:bottom w:val="single" w:sz="4" w:space="0" w:color="auto"/>
              <w:right w:val="nil"/>
            </w:tcBorders>
            <w:shd w:val="clear" w:color="auto" w:fill="auto"/>
            <w:vAlign w:val="bottom"/>
            <w:hideMark/>
          </w:tcPr>
          <w:p w14:paraId="6E26652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Fetal death</w:t>
            </w:r>
          </w:p>
        </w:tc>
        <w:tc>
          <w:tcPr>
            <w:tcW w:w="639" w:type="dxa"/>
            <w:tcBorders>
              <w:top w:val="single" w:sz="4" w:space="0" w:color="auto"/>
              <w:left w:val="nil"/>
              <w:bottom w:val="single" w:sz="4" w:space="0" w:color="auto"/>
              <w:right w:val="nil"/>
            </w:tcBorders>
            <w:shd w:val="clear" w:color="auto" w:fill="auto"/>
            <w:vAlign w:val="bottom"/>
            <w:hideMark/>
          </w:tcPr>
          <w:p w14:paraId="52035C9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U-5 death</w:t>
            </w:r>
          </w:p>
        </w:tc>
        <w:tc>
          <w:tcPr>
            <w:tcW w:w="648" w:type="dxa"/>
            <w:tcBorders>
              <w:top w:val="single" w:sz="4" w:space="0" w:color="auto"/>
              <w:left w:val="nil"/>
              <w:bottom w:val="single" w:sz="4" w:space="0" w:color="auto"/>
              <w:right w:val="nil"/>
            </w:tcBorders>
            <w:shd w:val="clear" w:color="auto" w:fill="auto"/>
            <w:vAlign w:val="bottom"/>
            <w:hideMark/>
          </w:tcPr>
          <w:p w14:paraId="6602E09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Disabil @ 5 yr</w:t>
            </w:r>
          </w:p>
        </w:tc>
        <w:tc>
          <w:tcPr>
            <w:tcW w:w="846" w:type="dxa"/>
            <w:tcBorders>
              <w:top w:val="single" w:sz="4" w:space="0" w:color="auto"/>
              <w:left w:val="single" w:sz="4" w:space="0" w:color="auto"/>
              <w:bottom w:val="single" w:sz="4" w:space="0" w:color="auto"/>
              <w:right w:val="nil"/>
            </w:tcBorders>
            <w:shd w:val="clear" w:color="auto" w:fill="auto"/>
            <w:vAlign w:val="bottom"/>
            <w:hideMark/>
          </w:tcPr>
          <w:p w14:paraId="176F10B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Pre-preg reduction</w:t>
            </w:r>
          </w:p>
        </w:tc>
        <w:tc>
          <w:tcPr>
            <w:tcW w:w="637" w:type="dxa"/>
            <w:tcBorders>
              <w:top w:val="single" w:sz="4" w:space="0" w:color="auto"/>
              <w:left w:val="nil"/>
              <w:bottom w:val="single" w:sz="4" w:space="0" w:color="auto"/>
              <w:right w:val="nil"/>
            </w:tcBorders>
            <w:shd w:val="clear" w:color="auto" w:fill="auto"/>
            <w:vAlign w:val="bottom"/>
            <w:hideMark/>
          </w:tcPr>
          <w:p w14:paraId="1AE1331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TOP</w:t>
            </w:r>
          </w:p>
        </w:tc>
        <w:tc>
          <w:tcPr>
            <w:tcW w:w="638" w:type="dxa"/>
            <w:tcBorders>
              <w:top w:val="single" w:sz="4" w:space="0" w:color="auto"/>
              <w:left w:val="nil"/>
              <w:bottom w:val="single" w:sz="4" w:space="0" w:color="auto"/>
              <w:right w:val="nil"/>
            </w:tcBorders>
            <w:shd w:val="clear" w:color="auto" w:fill="auto"/>
            <w:vAlign w:val="bottom"/>
            <w:hideMark/>
          </w:tcPr>
          <w:p w14:paraId="4C71E7CD"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Fetal death</w:t>
            </w:r>
          </w:p>
        </w:tc>
        <w:tc>
          <w:tcPr>
            <w:tcW w:w="782" w:type="dxa"/>
            <w:tcBorders>
              <w:top w:val="single" w:sz="4" w:space="0" w:color="auto"/>
              <w:left w:val="nil"/>
              <w:bottom w:val="single" w:sz="4" w:space="0" w:color="auto"/>
              <w:right w:val="nil"/>
            </w:tcBorders>
            <w:shd w:val="clear" w:color="auto" w:fill="auto"/>
            <w:vAlign w:val="bottom"/>
            <w:hideMark/>
          </w:tcPr>
          <w:p w14:paraId="48D6734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Effective cure</w:t>
            </w:r>
          </w:p>
        </w:tc>
        <w:tc>
          <w:tcPr>
            <w:tcW w:w="672" w:type="dxa"/>
            <w:tcBorders>
              <w:top w:val="single" w:sz="4" w:space="0" w:color="auto"/>
              <w:left w:val="nil"/>
              <w:bottom w:val="single" w:sz="4" w:space="0" w:color="auto"/>
              <w:right w:val="nil"/>
            </w:tcBorders>
            <w:shd w:val="clear" w:color="auto" w:fill="auto"/>
            <w:vAlign w:val="bottom"/>
            <w:hideMark/>
          </w:tcPr>
          <w:p w14:paraId="6611091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Under-5 death</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3695935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Disabil @  yr</w:t>
            </w:r>
          </w:p>
        </w:tc>
        <w:tc>
          <w:tcPr>
            <w:tcW w:w="638" w:type="dxa"/>
            <w:tcBorders>
              <w:top w:val="single" w:sz="4" w:space="0" w:color="auto"/>
              <w:left w:val="nil"/>
              <w:bottom w:val="single" w:sz="4" w:space="0" w:color="auto"/>
              <w:right w:val="nil"/>
            </w:tcBorders>
            <w:shd w:val="clear" w:color="auto" w:fill="auto"/>
            <w:vAlign w:val="bottom"/>
            <w:hideMark/>
          </w:tcPr>
          <w:p w14:paraId="234232FE"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Fetal death</w:t>
            </w:r>
          </w:p>
        </w:tc>
        <w:tc>
          <w:tcPr>
            <w:tcW w:w="638" w:type="dxa"/>
            <w:tcBorders>
              <w:top w:val="single" w:sz="4" w:space="0" w:color="auto"/>
              <w:left w:val="nil"/>
              <w:bottom w:val="single" w:sz="4" w:space="0" w:color="auto"/>
              <w:right w:val="nil"/>
            </w:tcBorders>
            <w:shd w:val="clear" w:color="auto" w:fill="auto"/>
            <w:vAlign w:val="bottom"/>
            <w:hideMark/>
          </w:tcPr>
          <w:p w14:paraId="3DAB119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U-5 death</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66CDB29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Disabil @ 5 yr</w:t>
            </w:r>
          </w:p>
        </w:tc>
      </w:tr>
      <w:tr w:rsidR="00D86592" w:rsidRPr="007C740F" w14:paraId="7D1F257F"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31FFA146"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Down</w:t>
            </w:r>
          </w:p>
        </w:tc>
        <w:tc>
          <w:tcPr>
            <w:tcW w:w="760" w:type="dxa"/>
            <w:tcBorders>
              <w:top w:val="nil"/>
              <w:left w:val="single" w:sz="4" w:space="0" w:color="auto"/>
              <w:bottom w:val="nil"/>
              <w:right w:val="single" w:sz="4" w:space="0" w:color="auto"/>
            </w:tcBorders>
            <w:shd w:val="clear" w:color="auto" w:fill="auto"/>
            <w:noWrap/>
            <w:vAlign w:val="bottom"/>
            <w:hideMark/>
          </w:tcPr>
          <w:p w14:paraId="36DACAF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2.98</w:t>
            </w:r>
          </w:p>
        </w:tc>
        <w:tc>
          <w:tcPr>
            <w:tcW w:w="639" w:type="dxa"/>
            <w:tcBorders>
              <w:top w:val="nil"/>
              <w:left w:val="nil"/>
              <w:bottom w:val="nil"/>
              <w:right w:val="nil"/>
            </w:tcBorders>
            <w:shd w:val="clear" w:color="auto" w:fill="auto"/>
            <w:noWrap/>
            <w:vAlign w:val="bottom"/>
            <w:hideMark/>
          </w:tcPr>
          <w:p w14:paraId="02A9BCC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14.0</w:t>
            </w:r>
          </w:p>
        </w:tc>
        <w:tc>
          <w:tcPr>
            <w:tcW w:w="639" w:type="dxa"/>
            <w:tcBorders>
              <w:top w:val="nil"/>
              <w:left w:val="nil"/>
              <w:bottom w:val="nil"/>
              <w:right w:val="nil"/>
            </w:tcBorders>
            <w:shd w:val="clear" w:color="auto" w:fill="auto"/>
            <w:noWrap/>
            <w:vAlign w:val="bottom"/>
            <w:hideMark/>
          </w:tcPr>
          <w:p w14:paraId="44BBDD9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53.7</w:t>
            </w:r>
          </w:p>
        </w:tc>
        <w:tc>
          <w:tcPr>
            <w:tcW w:w="648" w:type="dxa"/>
            <w:tcBorders>
              <w:top w:val="nil"/>
              <w:left w:val="nil"/>
              <w:bottom w:val="nil"/>
              <w:right w:val="nil"/>
            </w:tcBorders>
            <w:shd w:val="clear" w:color="auto" w:fill="auto"/>
            <w:noWrap/>
            <w:vAlign w:val="bottom"/>
            <w:hideMark/>
          </w:tcPr>
          <w:p w14:paraId="76316FCE"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33.9</w:t>
            </w:r>
          </w:p>
        </w:tc>
        <w:tc>
          <w:tcPr>
            <w:tcW w:w="846" w:type="dxa"/>
            <w:tcBorders>
              <w:top w:val="nil"/>
              <w:left w:val="single" w:sz="4" w:space="0" w:color="auto"/>
              <w:bottom w:val="nil"/>
              <w:right w:val="nil"/>
            </w:tcBorders>
            <w:shd w:val="clear" w:color="auto" w:fill="auto"/>
            <w:noWrap/>
            <w:vAlign w:val="bottom"/>
            <w:hideMark/>
          </w:tcPr>
          <w:p w14:paraId="619B234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7" w:type="dxa"/>
            <w:tcBorders>
              <w:top w:val="nil"/>
              <w:left w:val="nil"/>
              <w:bottom w:val="nil"/>
              <w:right w:val="nil"/>
            </w:tcBorders>
            <w:shd w:val="clear" w:color="auto" w:fill="auto"/>
            <w:noWrap/>
            <w:vAlign w:val="bottom"/>
            <w:hideMark/>
          </w:tcPr>
          <w:p w14:paraId="17A534E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56.4</w:t>
            </w:r>
          </w:p>
        </w:tc>
        <w:tc>
          <w:tcPr>
            <w:tcW w:w="638" w:type="dxa"/>
            <w:tcBorders>
              <w:top w:val="nil"/>
              <w:left w:val="nil"/>
              <w:bottom w:val="nil"/>
              <w:right w:val="nil"/>
            </w:tcBorders>
            <w:shd w:val="clear" w:color="auto" w:fill="auto"/>
            <w:noWrap/>
            <w:vAlign w:val="bottom"/>
            <w:hideMark/>
          </w:tcPr>
          <w:p w14:paraId="37EC7C0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6.1</w:t>
            </w:r>
          </w:p>
        </w:tc>
        <w:tc>
          <w:tcPr>
            <w:tcW w:w="782" w:type="dxa"/>
            <w:tcBorders>
              <w:top w:val="nil"/>
              <w:left w:val="nil"/>
              <w:bottom w:val="nil"/>
              <w:right w:val="nil"/>
            </w:tcBorders>
            <w:shd w:val="clear" w:color="auto" w:fill="auto"/>
            <w:noWrap/>
            <w:vAlign w:val="bottom"/>
            <w:hideMark/>
          </w:tcPr>
          <w:p w14:paraId="065E21A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72" w:type="dxa"/>
            <w:tcBorders>
              <w:top w:val="nil"/>
              <w:left w:val="nil"/>
              <w:bottom w:val="nil"/>
              <w:right w:val="nil"/>
            </w:tcBorders>
            <w:shd w:val="clear" w:color="auto" w:fill="auto"/>
            <w:noWrap/>
            <w:vAlign w:val="bottom"/>
            <w:hideMark/>
          </w:tcPr>
          <w:p w14:paraId="643D139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2.3</w:t>
            </w:r>
          </w:p>
        </w:tc>
        <w:tc>
          <w:tcPr>
            <w:tcW w:w="648" w:type="dxa"/>
            <w:tcBorders>
              <w:top w:val="nil"/>
              <w:left w:val="nil"/>
              <w:bottom w:val="nil"/>
              <w:right w:val="single" w:sz="4" w:space="0" w:color="auto"/>
            </w:tcBorders>
            <w:shd w:val="clear" w:color="auto" w:fill="auto"/>
            <w:noWrap/>
            <w:vAlign w:val="bottom"/>
            <w:hideMark/>
          </w:tcPr>
          <w:p w14:paraId="1624D26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35.1</w:t>
            </w:r>
          </w:p>
        </w:tc>
        <w:tc>
          <w:tcPr>
            <w:tcW w:w="638" w:type="dxa"/>
            <w:tcBorders>
              <w:top w:val="nil"/>
              <w:left w:val="nil"/>
              <w:bottom w:val="nil"/>
              <w:right w:val="nil"/>
            </w:tcBorders>
            <w:shd w:val="clear" w:color="auto" w:fill="auto"/>
            <w:noWrap/>
            <w:vAlign w:val="bottom"/>
            <w:hideMark/>
          </w:tcPr>
          <w:p w14:paraId="1DA9B29C"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56</w:t>
            </w:r>
          </w:p>
        </w:tc>
        <w:tc>
          <w:tcPr>
            <w:tcW w:w="638" w:type="dxa"/>
            <w:tcBorders>
              <w:top w:val="nil"/>
              <w:left w:val="nil"/>
              <w:bottom w:val="nil"/>
              <w:right w:val="nil"/>
            </w:tcBorders>
            <w:shd w:val="clear" w:color="auto" w:fill="auto"/>
            <w:noWrap/>
            <w:vAlign w:val="bottom"/>
            <w:hideMark/>
          </w:tcPr>
          <w:p w14:paraId="1235CCB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96</w:t>
            </w:r>
          </w:p>
        </w:tc>
        <w:tc>
          <w:tcPr>
            <w:tcW w:w="648" w:type="dxa"/>
            <w:tcBorders>
              <w:top w:val="nil"/>
              <w:left w:val="nil"/>
              <w:bottom w:val="nil"/>
              <w:right w:val="single" w:sz="4" w:space="0" w:color="auto"/>
            </w:tcBorders>
            <w:shd w:val="clear" w:color="auto" w:fill="auto"/>
            <w:noWrap/>
            <w:vAlign w:val="bottom"/>
            <w:hideMark/>
          </w:tcPr>
          <w:p w14:paraId="34FA306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w:t>
            </w:r>
          </w:p>
        </w:tc>
      </w:tr>
      <w:tr w:rsidR="00D86592" w:rsidRPr="007C740F" w14:paraId="02D45A38"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2EEE69AE"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Other autosomal</w:t>
            </w:r>
          </w:p>
        </w:tc>
        <w:tc>
          <w:tcPr>
            <w:tcW w:w="760" w:type="dxa"/>
            <w:tcBorders>
              <w:top w:val="nil"/>
              <w:left w:val="single" w:sz="4" w:space="0" w:color="auto"/>
              <w:bottom w:val="nil"/>
              <w:right w:val="single" w:sz="4" w:space="0" w:color="auto"/>
            </w:tcBorders>
            <w:shd w:val="clear" w:color="auto" w:fill="auto"/>
            <w:noWrap/>
            <w:vAlign w:val="bottom"/>
            <w:hideMark/>
          </w:tcPr>
          <w:p w14:paraId="0B590B7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1.52</w:t>
            </w:r>
          </w:p>
        </w:tc>
        <w:tc>
          <w:tcPr>
            <w:tcW w:w="639" w:type="dxa"/>
            <w:tcBorders>
              <w:top w:val="nil"/>
              <w:left w:val="nil"/>
              <w:bottom w:val="nil"/>
              <w:right w:val="nil"/>
            </w:tcBorders>
            <w:shd w:val="clear" w:color="auto" w:fill="auto"/>
            <w:noWrap/>
            <w:vAlign w:val="bottom"/>
            <w:hideMark/>
          </w:tcPr>
          <w:p w14:paraId="721959C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22.4</w:t>
            </w:r>
          </w:p>
        </w:tc>
        <w:tc>
          <w:tcPr>
            <w:tcW w:w="639" w:type="dxa"/>
            <w:tcBorders>
              <w:top w:val="nil"/>
              <w:left w:val="nil"/>
              <w:bottom w:val="nil"/>
              <w:right w:val="nil"/>
            </w:tcBorders>
            <w:shd w:val="clear" w:color="auto" w:fill="auto"/>
            <w:noWrap/>
            <w:vAlign w:val="bottom"/>
            <w:hideMark/>
          </w:tcPr>
          <w:p w14:paraId="5195EBB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62.2</w:t>
            </w:r>
          </w:p>
        </w:tc>
        <w:tc>
          <w:tcPr>
            <w:tcW w:w="648" w:type="dxa"/>
            <w:tcBorders>
              <w:top w:val="nil"/>
              <w:left w:val="nil"/>
              <w:bottom w:val="nil"/>
              <w:right w:val="nil"/>
            </w:tcBorders>
            <w:shd w:val="clear" w:color="auto" w:fill="auto"/>
            <w:noWrap/>
            <w:vAlign w:val="bottom"/>
            <w:hideMark/>
          </w:tcPr>
          <w:p w14:paraId="7F802C1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15.3</w:t>
            </w:r>
          </w:p>
        </w:tc>
        <w:tc>
          <w:tcPr>
            <w:tcW w:w="846" w:type="dxa"/>
            <w:tcBorders>
              <w:top w:val="nil"/>
              <w:left w:val="single" w:sz="4" w:space="0" w:color="auto"/>
              <w:bottom w:val="nil"/>
              <w:right w:val="nil"/>
            </w:tcBorders>
            <w:shd w:val="clear" w:color="auto" w:fill="auto"/>
            <w:noWrap/>
            <w:vAlign w:val="bottom"/>
            <w:hideMark/>
          </w:tcPr>
          <w:p w14:paraId="73281DB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7" w:type="dxa"/>
            <w:tcBorders>
              <w:top w:val="nil"/>
              <w:left w:val="nil"/>
              <w:bottom w:val="nil"/>
              <w:right w:val="nil"/>
            </w:tcBorders>
            <w:shd w:val="clear" w:color="auto" w:fill="auto"/>
            <w:noWrap/>
            <w:vAlign w:val="bottom"/>
            <w:hideMark/>
          </w:tcPr>
          <w:p w14:paraId="6508A12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67.3</w:t>
            </w:r>
          </w:p>
        </w:tc>
        <w:tc>
          <w:tcPr>
            <w:tcW w:w="638" w:type="dxa"/>
            <w:tcBorders>
              <w:top w:val="nil"/>
              <w:left w:val="nil"/>
              <w:bottom w:val="nil"/>
              <w:right w:val="nil"/>
            </w:tcBorders>
            <w:shd w:val="clear" w:color="auto" w:fill="auto"/>
            <w:noWrap/>
            <w:vAlign w:val="bottom"/>
            <w:hideMark/>
          </w:tcPr>
          <w:p w14:paraId="171B9E3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6.9</w:t>
            </w:r>
          </w:p>
        </w:tc>
        <w:tc>
          <w:tcPr>
            <w:tcW w:w="782" w:type="dxa"/>
            <w:tcBorders>
              <w:top w:val="nil"/>
              <w:left w:val="nil"/>
              <w:bottom w:val="nil"/>
              <w:right w:val="nil"/>
            </w:tcBorders>
            <w:shd w:val="clear" w:color="auto" w:fill="auto"/>
            <w:noWrap/>
            <w:vAlign w:val="bottom"/>
            <w:hideMark/>
          </w:tcPr>
          <w:p w14:paraId="1990F17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72" w:type="dxa"/>
            <w:tcBorders>
              <w:top w:val="nil"/>
              <w:left w:val="nil"/>
              <w:bottom w:val="nil"/>
              <w:right w:val="nil"/>
            </w:tcBorders>
            <w:shd w:val="clear" w:color="auto" w:fill="auto"/>
            <w:noWrap/>
            <w:vAlign w:val="bottom"/>
            <w:hideMark/>
          </w:tcPr>
          <w:p w14:paraId="688CC53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9.8</w:t>
            </w:r>
          </w:p>
        </w:tc>
        <w:tc>
          <w:tcPr>
            <w:tcW w:w="648" w:type="dxa"/>
            <w:tcBorders>
              <w:top w:val="nil"/>
              <w:left w:val="nil"/>
              <w:bottom w:val="nil"/>
              <w:right w:val="single" w:sz="4" w:space="0" w:color="auto"/>
            </w:tcBorders>
            <w:shd w:val="clear" w:color="auto" w:fill="auto"/>
            <w:noWrap/>
            <w:vAlign w:val="bottom"/>
            <w:hideMark/>
          </w:tcPr>
          <w:p w14:paraId="7B75A38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16.0</w:t>
            </w:r>
          </w:p>
        </w:tc>
        <w:tc>
          <w:tcPr>
            <w:tcW w:w="638" w:type="dxa"/>
            <w:tcBorders>
              <w:top w:val="nil"/>
              <w:left w:val="nil"/>
              <w:bottom w:val="nil"/>
              <w:right w:val="nil"/>
            </w:tcBorders>
            <w:shd w:val="clear" w:color="auto" w:fill="auto"/>
            <w:noWrap/>
            <w:vAlign w:val="bottom"/>
            <w:hideMark/>
          </w:tcPr>
          <w:p w14:paraId="6B0FF4E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69</w:t>
            </w:r>
          </w:p>
        </w:tc>
        <w:tc>
          <w:tcPr>
            <w:tcW w:w="638" w:type="dxa"/>
            <w:tcBorders>
              <w:top w:val="nil"/>
              <w:left w:val="nil"/>
              <w:bottom w:val="nil"/>
              <w:right w:val="nil"/>
            </w:tcBorders>
            <w:shd w:val="clear" w:color="auto" w:fill="auto"/>
            <w:noWrap/>
            <w:vAlign w:val="bottom"/>
            <w:hideMark/>
          </w:tcPr>
          <w:p w14:paraId="5E33CB1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84</w:t>
            </w:r>
          </w:p>
        </w:tc>
        <w:tc>
          <w:tcPr>
            <w:tcW w:w="648" w:type="dxa"/>
            <w:tcBorders>
              <w:top w:val="nil"/>
              <w:left w:val="nil"/>
              <w:bottom w:val="nil"/>
              <w:right w:val="single" w:sz="4" w:space="0" w:color="auto"/>
            </w:tcBorders>
            <w:shd w:val="clear" w:color="auto" w:fill="auto"/>
            <w:noWrap/>
            <w:vAlign w:val="bottom"/>
            <w:hideMark/>
          </w:tcPr>
          <w:p w14:paraId="0403049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w:t>
            </w:r>
          </w:p>
        </w:tc>
      </w:tr>
      <w:tr w:rsidR="00D86592" w:rsidRPr="007C740F" w14:paraId="1E3CC34E"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2795DAC1"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Sex chromosomal</w:t>
            </w:r>
          </w:p>
        </w:tc>
        <w:tc>
          <w:tcPr>
            <w:tcW w:w="760" w:type="dxa"/>
            <w:tcBorders>
              <w:top w:val="nil"/>
              <w:left w:val="single" w:sz="4" w:space="0" w:color="auto"/>
              <w:bottom w:val="nil"/>
              <w:right w:val="single" w:sz="4" w:space="0" w:color="auto"/>
            </w:tcBorders>
            <w:shd w:val="clear" w:color="auto" w:fill="auto"/>
            <w:noWrap/>
            <w:vAlign w:val="bottom"/>
            <w:hideMark/>
          </w:tcPr>
          <w:p w14:paraId="3AF5F1BC"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1.12</w:t>
            </w:r>
          </w:p>
        </w:tc>
        <w:tc>
          <w:tcPr>
            <w:tcW w:w="639" w:type="dxa"/>
            <w:tcBorders>
              <w:top w:val="nil"/>
              <w:left w:val="nil"/>
              <w:bottom w:val="nil"/>
              <w:right w:val="nil"/>
            </w:tcBorders>
            <w:shd w:val="clear" w:color="auto" w:fill="auto"/>
            <w:noWrap/>
            <w:vAlign w:val="bottom"/>
            <w:hideMark/>
          </w:tcPr>
          <w:p w14:paraId="08479F0E"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6.5</w:t>
            </w:r>
          </w:p>
        </w:tc>
        <w:tc>
          <w:tcPr>
            <w:tcW w:w="639" w:type="dxa"/>
            <w:tcBorders>
              <w:top w:val="nil"/>
              <w:left w:val="nil"/>
              <w:bottom w:val="nil"/>
              <w:right w:val="nil"/>
            </w:tcBorders>
            <w:shd w:val="clear" w:color="auto" w:fill="auto"/>
            <w:noWrap/>
            <w:vAlign w:val="bottom"/>
            <w:hideMark/>
          </w:tcPr>
          <w:p w14:paraId="3EAD82D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1.1</w:t>
            </w:r>
          </w:p>
        </w:tc>
        <w:tc>
          <w:tcPr>
            <w:tcW w:w="648" w:type="dxa"/>
            <w:tcBorders>
              <w:top w:val="nil"/>
              <w:left w:val="nil"/>
              <w:bottom w:val="nil"/>
              <w:right w:val="nil"/>
            </w:tcBorders>
            <w:shd w:val="clear" w:color="auto" w:fill="auto"/>
            <w:noWrap/>
            <w:vAlign w:val="bottom"/>
            <w:hideMark/>
          </w:tcPr>
          <w:p w14:paraId="2180AEF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92.1</w:t>
            </w:r>
          </w:p>
        </w:tc>
        <w:tc>
          <w:tcPr>
            <w:tcW w:w="846" w:type="dxa"/>
            <w:tcBorders>
              <w:top w:val="nil"/>
              <w:left w:val="single" w:sz="4" w:space="0" w:color="auto"/>
              <w:bottom w:val="nil"/>
              <w:right w:val="nil"/>
            </w:tcBorders>
            <w:shd w:val="clear" w:color="auto" w:fill="auto"/>
            <w:noWrap/>
            <w:vAlign w:val="bottom"/>
            <w:hideMark/>
          </w:tcPr>
          <w:p w14:paraId="60C5438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7" w:type="dxa"/>
            <w:tcBorders>
              <w:top w:val="nil"/>
              <w:left w:val="nil"/>
              <w:bottom w:val="nil"/>
              <w:right w:val="nil"/>
            </w:tcBorders>
            <w:shd w:val="clear" w:color="auto" w:fill="auto"/>
            <w:noWrap/>
            <w:vAlign w:val="bottom"/>
            <w:hideMark/>
          </w:tcPr>
          <w:p w14:paraId="0ABC46F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14.5</w:t>
            </w:r>
          </w:p>
        </w:tc>
        <w:tc>
          <w:tcPr>
            <w:tcW w:w="638" w:type="dxa"/>
            <w:tcBorders>
              <w:top w:val="nil"/>
              <w:left w:val="nil"/>
              <w:bottom w:val="nil"/>
              <w:right w:val="nil"/>
            </w:tcBorders>
            <w:shd w:val="clear" w:color="auto" w:fill="auto"/>
            <w:noWrap/>
            <w:vAlign w:val="bottom"/>
            <w:hideMark/>
          </w:tcPr>
          <w:p w14:paraId="73FA6E8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3.5</w:t>
            </w:r>
          </w:p>
        </w:tc>
        <w:tc>
          <w:tcPr>
            <w:tcW w:w="782" w:type="dxa"/>
            <w:tcBorders>
              <w:top w:val="nil"/>
              <w:left w:val="nil"/>
              <w:bottom w:val="nil"/>
              <w:right w:val="nil"/>
            </w:tcBorders>
            <w:shd w:val="clear" w:color="auto" w:fill="auto"/>
            <w:noWrap/>
            <w:vAlign w:val="bottom"/>
            <w:hideMark/>
          </w:tcPr>
          <w:p w14:paraId="696F2F3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72" w:type="dxa"/>
            <w:tcBorders>
              <w:top w:val="nil"/>
              <w:left w:val="nil"/>
              <w:bottom w:val="nil"/>
              <w:right w:val="nil"/>
            </w:tcBorders>
            <w:shd w:val="clear" w:color="auto" w:fill="auto"/>
            <w:noWrap/>
            <w:vAlign w:val="bottom"/>
            <w:hideMark/>
          </w:tcPr>
          <w:p w14:paraId="6973730C"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0.7</w:t>
            </w:r>
          </w:p>
        </w:tc>
        <w:tc>
          <w:tcPr>
            <w:tcW w:w="648" w:type="dxa"/>
            <w:tcBorders>
              <w:top w:val="nil"/>
              <w:left w:val="nil"/>
              <w:bottom w:val="nil"/>
              <w:right w:val="single" w:sz="4" w:space="0" w:color="auto"/>
            </w:tcBorders>
            <w:shd w:val="clear" w:color="auto" w:fill="auto"/>
            <w:noWrap/>
            <w:vAlign w:val="bottom"/>
            <w:hideMark/>
          </w:tcPr>
          <w:p w14:paraId="0D118F4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81.0</w:t>
            </w:r>
          </w:p>
        </w:tc>
        <w:tc>
          <w:tcPr>
            <w:tcW w:w="638" w:type="dxa"/>
            <w:tcBorders>
              <w:top w:val="nil"/>
              <w:left w:val="nil"/>
              <w:bottom w:val="nil"/>
              <w:right w:val="nil"/>
            </w:tcBorders>
            <w:shd w:val="clear" w:color="auto" w:fill="auto"/>
            <w:noWrap/>
            <w:vAlign w:val="bottom"/>
            <w:hideMark/>
          </w:tcPr>
          <w:p w14:paraId="75B2F45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47</w:t>
            </w:r>
          </w:p>
        </w:tc>
        <w:tc>
          <w:tcPr>
            <w:tcW w:w="638" w:type="dxa"/>
            <w:tcBorders>
              <w:top w:val="nil"/>
              <w:left w:val="nil"/>
              <w:bottom w:val="nil"/>
              <w:right w:val="nil"/>
            </w:tcBorders>
            <w:shd w:val="clear" w:color="auto" w:fill="auto"/>
            <w:noWrap/>
            <w:vAlign w:val="bottom"/>
            <w:hideMark/>
          </w:tcPr>
          <w:p w14:paraId="6D55252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32</w:t>
            </w:r>
          </w:p>
        </w:tc>
        <w:tc>
          <w:tcPr>
            <w:tcW w:w="648" w:type="dxa"/>
            <w:tcBorders>
              <w:top w:val="nil"/>
              <w:left w:val="nil"/>
              <w:bottom w:val="nil"/>
              <w:right w:val="single" w:sz="4" w:space="0" w:color="auto"/>
            </w:tcBorders>
            <w:shd w:val="clear" w:color="auto" w:fill="auto"/>
            <w:noWrap/>
            <w:vAlign w:val="bottom"/>
            <w:hideMark/>
          </w:tcPr>
          <w:p w14:paraId="767FC1D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12</w:t>
            </w:r>
          </w:p>
        </w:tc>
      </w:tr>
      <w:tr w:rsidR="00D86592" w:rsidRPr="007C740F" w14:paraId="56F15733"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1C1D4B99"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Severe congen malfns</w:t>
            </w:r>
          </w:p>
        </w:tc>
        <w:tc>
          <w:tcPr>
            <w:tcW w:w="760" w:type="dxa"/>
            <w:tcBorders>
              <w:top w:val="nil"/>
              <w:left w:val="single" w:sz="4" w:space="0" w:color="auto"/>
              <w:bottom w:val="nil"/>
              <w:right w:val="single" w:sz="4" w:space="0" w:color="auto"/>
            </w:tcBorders>
            <w:shd w:val="clear" w:color="auto" w:fill="auto"/>
            <w:noWrap/>
            <w:vAlign w:val="bottom"/>
            <w:hideMark/>
          </w:tcPr>
          <w:p w14:paraId="2AE9F24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15.44</w:t>
            </w:r>
          </w:p>
        </w:tc>
        <w:tc>
          <w:tcPr>
            <w:tcW w:w="639" w:type="dxa"/>
            <w:tcBorders>
              <w:top w:val="nil"/>
              <w:left w:val="nil"/>
              <w:bottom w:val="nil"/>
              <w:right w:val="nil"/>
            </w:tcBorders>
            <w:shd w:val="clear" w:color="auto" w:fill="auto"/>
            <w:noWrap/>
            <w:vAlign w:val="bottom"/>
            <w:hideMark/>
          </w:tcPr>
          <w:p w14:paraId="6BFFF1B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3.2</w:t>
            </w:r>
          </w:p>
        </w:tc>
        <w:tc>
          <w:tcPr>
            <w:tcW w:w="639" w:type="dxa"/>
            <w:tcBorders>
              <w:top w:val="nil"/>
              <w:left w:val="nil"/>
              <w:bottom w:val="nil"/>
              <w:right w:val="nil"/>
            </w:tcBorders>
            <w:shd w:val="clear" w:color="auto" w:fill="auto"/>
            <w:noWrap/>
            <w:vAlign w:val="bottom"/>
            <w:hideMark/>
          </w:tcPr>
          <w:p w14:paraId="54E80F1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81.3</w:t>
            </w:r>
          </w:p>
        </w:tc>
        <w:tc>
          <w:tcPr>
            <w:tcW w:w="648" w:type="dxa"/>
            <w:tcBorders>
              <w:top w:val="nil"/>
              <w:left w:val="nil"/>
              <w:bottom w:val="nil"/>
              <w:right w:val="nil"/>
            </w:tcBorders>
            <w:shd w:val="clear" w:color="auto" w:fill="auto"/>
            <w:noWrap/>
            <w:vAlign w:val="bottom"/>
            <w:hideMark/>
          </w:tcPr>
          <w:p w14:paraId="6597752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15.5</w:t>
            </w:r>
          </w:p>
        </w:tc>
        <w:tc>
          <w:tcPr>
            <w:tcW w:w="846" w:type="dxa"/>
            <w:tcBorders>
              <w:top w:val="nil"/>
              <w:left w:val="single" w:sz="4" w:space="0" w:color="auto"/>
              <w:bottom w:val="nil"/>
              <w:right w:val="nil"/>
            </w:tcBorders>
            <w:shd w:val="clear" w:color="auto" w:fill="auto"/>
            <w:noWrap/>
            <w:vAlign w:val="bottom"/>
            <w:hideMark/>
          </w:tcPr>
          <w:p w14:paraId="7E76B29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3.9</w:t>
            </w:r>
          </w:p>
        </w:tc>
        <w:tc>
          <w:tcPr>
            <w:tcW w:w="637" w:type="dxa"/>
            <w:tcBorders>
              <w:top w:val="nil"/>
              <w:left w:val="nil"/>
              <w:bottom w:val="nil"/>
              <w:right w:val="nil"/>
            </w:tcBorders>
            <w:shd w:val="clear" w:color="auto" w:fill="auto"/>
            <w:noWrap/>
            <w:vAlign w:val="bottom"/>
            <w:hideMark/>
          </w:tcPr>
          <w:p w14:paraId="2AAEE92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10.8</w:t>
            </w:r>
          </w:p>
        </w:tc>
        <w:tc>
          <w:tcPr>
            <w:tcW w:w="638" w:type="dxa"/>
            <w:tcBorders>
              <w:top w:val="nil"/>
              <w:left w:val="nil"/>
              <w:bottom w:val="nil"/>
              <w:right w:val="nil"/>
            </w:tcBorders>
            <w:shd w:val="clear" w:color="auto" w:fill="auto"/>
            <w:noWrap/>
            <w:vAlign w:val="bottom"/>
            <w:hideMark/>
          </w:tcPr>
          <w:p w14:paraId="13337F5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1.6</w:t>
            </w:r>
          </w:p>
        </w:tc>
        <w:tc>
          <w:tcPr>
            <w:tcW w:w="782" w:type="dxa"/>
            <w:tcBorders>
              <w:top w:val="nil"/>
              <w:left w:val="nil"/>
              <w:bottom w:val="nil"/>
              <w:right w:val="nil"/>
            </w:tcBorders>
            <w:shd w:val="clear" w:color="auto" w:fill="auto"/>
            <w:noWrap/>
            <w:vAlign w:val="bottom"/>
            <w:hideMark/>
          </w:tcPr>
          <w:p w14:paraId="39A833D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61.5</w:t>
            </w:r>
          </w:p>
        </w:tc>
        <w:tc>
          <w:tcPr>
            <w:tcW w:w="672" w:type="dxa"/>
            <w:tcBorders>
              <w:top w:val="nil"/>
              <w:left w:val="nil"/>
              <w:bottom w:val="nil"/>
              <w:right w:val="nil"/>
            </w:tcBorders>
            <w:shd w:val="clear" w:color="auto" w:fill="auto"/>
            <w:noWrap/>
            <w:vAlign w:val="bottom"/>
            <w:hideMark/>
          </w:tcPr>
          <w:p w14:paraId="04D8E0A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2.4</w:t>
            </w:r>
          </w:p>
        </w:tc>
        <w:tc>
          <w:tcPr>
            <w:tcW w:w="648" w:type="dxa"/>
            <w:tcBorders>
              <w:top w:val="nil"/>
              <w:left w:val="nil"/>
              <w:bottom w:val="nil"/>
              <w:right w:val="single" w:sz="4" w:space="0" w:color="auto"/>
            </w:tcBorders>
            <w:shd w:val="clear" w:color="auto" w:fill="auto"/>
            <w:noWrap/>
            <w:vAlign w:val="bottom"/>
            <w:hideMark/>
          </w:tcPr>
          <w:p w14:paraId="0F2E0BB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19.7</w:t>
            </w:r>
          </w:p>
        </w:tc>
        <w:tc>
          <w:tcPr>
            <w:tcW w:w="638" w:type="dxa"/>
            <w:tcBorders>
              <w:top w:val="nil"/>
              <w:left w:val="nil"/>
              <w:bottom w:val="nil"/>
              <w:right w:val="nil"/>
            </w:tcBorders>
            <w:shd w:val="clear" w:color="auto" w:fill="auto"/>
            <w:noWrap/>
            <w:vAlign w:val="bottom"/>
            <w:hideMark/>
          </w:tcPr>
          <w:p w14:paraId="7484C1D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48</w:t>
            </w:r>
          </w:p>
        </w:tc>
        <w:tc>
          <w:tcPr>
            <w:tcW w:w="638" w:type="dxa"/>
            <w:tcBorders>
              <w:top w:val="nil"/>
              <w:left w:val="nil"/>
              <w:bottom w:val="nil"/>
              <w:right w:val="nil"/>
            </w:tcBorders>
            <w:shd w:val="clear" w:color="auto" w:fill="auto"/>
            <w:noWrap/>
            <w:vAlign w:val="bottom"/>
            <w:hideMark/>
          </w:tcPr>
          <w:p w14:paraId="240D958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97</w:t>
            </w:r>
          </w:p>
        </w:tc>
        <w:tc>
          <w:tcPr>
            <w:tcW w:w="648" w:type="dxa"/>
            <w:tcBorders>
              <w:top w:val="nil"/>
              <w:left w:val="nil"/>
              <w:bottom w:val="nil"/>
              <w:right w:val="single" w:sz="4" w:space="0" w:color="auto"/>
            </w:tcBorders>
            <w:shd w:val="clear" w:color="auto" w:fill="auto"/>
            <w:noWrap/>
            <w:vAlign w:val="bottom"/>
            <w:hideMark/>
          </w:tcPr>
          <w:p w14:paraId="382DFA8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-27</w:t>
            </w:r>
          </w:p>
        </w:tc>
      </w:tr>
      <w:tr w:rsidR="00D86592" w:rsidRPr="007C740F" w14:paraId="4511DEEB"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03AB1BEB"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Less severe malfns</w:t>
            </w:r>
          </w:p>
        </w:tc>
        <w:tc>
          <w:tcPr>
            <w:tcW w:w="760" w:type="dxa"/>
            <w:tcBorders>
              <w:top w:val="nil"/>
              <w:left w:val="single" w:sz="4" w:space="0" w:color="auto"/>
              <w:bottom w:val="nil"/>
              <w:right w:val="single" w:sz="4" w:space="0" w:color="auto"/>
            </w:tcBorders>
            <w:shd w:val="clear" w:color="auto" w:fill="auto"/>
            <w:noWrap/>
            <w:vAlign w:val="bottom"/>
            <w:hideMark/>
          </w:tcPr>
          <w:p w14:paraId="565AB86C"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5.19</w:t>
            </w:r>
          </w:p>
        </w:tc>
        <w:tc>
          <w:tcPr>
            <w:tcW w:w="639" w:type="dxa"/>
            <w:tcBorders>
              <w:top w:val="nil"/>
              <w:left w:val="nil"/>
              <w:bottom w:val="nil"/>
              <w:right w:val="nil"/>
            </w:tcBorders>
            <w:shd w:val="clear" w:color="auto" w:fill="auto"/>
            <w:noWrap/>
            <w:vAlign w:val="bottom"/>
            <w:hideMark/>
          </w:tcPr>
          <w:p w14:paraId="7161EDF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0.7</w:t>
            </w:r>
          </w:p>
        </w:tc>
        <w:tc>
          <w:tcPr>
            <w:tcW w:w="639" w:type="dxa"/>
            <w:tcBorders>
              <w:top w:val="nil"/>
              <w:left w:val="nil"/>
              <w:bottom w:val="nil"/>
              <w:right w:val="nil"/>
            </w:tcBorders>
            <w:shd w:val="clear" w:color="auto" w:fill="auto"/>
            <w:noWrap/>
            <w:vAlign w:val="bottom"/>
            <w:hideMark/>
          </w:tcPr>
          <w:p w14:paraId="54F2D15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4.7</w:t>
            </w:r>
          </w:p>
        </w:tc>
        <w:tc>
          <w:tcPr>
            <w:tcW w:w="648" w:type="dxa"/>
            <w:tcBorders>
              <w:top w:val="nil"/>
              <w:left w:val="nil"/>
              <w:bottom w:val="nil"/>
              <w:right w:val="nil"/>
            </w:tcBorders>
            <w:shd w:val="clear" w:color="auto" w:fill="auto"/>
            <w:noWrap/>
            <w:vAlign w:val="bottom"/>
            <w:hideMark/>
          </w:tcPr>
          <w:p w14:paraId="0255712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94.2</w:t>
            </w:r>
          </w:p>
        </w:tc>
        <w:tc>
          <w:tcPr>
            <w:tcW w:w="846" w:type="dxa"/>
            <w:tcBorders>
              <w:top w:val="nil"/>
              <w:left w:val="single" w:sz="4" w:space="0" w:color="auto"/>
              <w:bottom w:val="nil"/>
              <w:right w:val="nil"/>
            </w:tcBorders>
            <w:shd w:val="clear" w:color="auto" w:fill="auto"/>
            <w:noWrap/>
            <w:vAlign w:val="bottom"/>
            <w:hideMark/>
          </w:tcPr>
          <w:p w14:paraId="22E21B9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7" w:type="dxa"/>
            <w:tcBorders>
              <w:top w:val="nil"/>
              <w:left w:val="nil"/>
              <w:bottom w:val="nil"/>
              <w:right w:val="nil"/>
            </w:tcBorders>
            <w:shd w:val="clear" w:color="auto" w:fill="auto"/>
            <w:noWrap/>
            <w:vAlign w:val="bottom"/>
            <w:hideMark/>
          </w:tcPr>
          <w:p w14:paraId="57493B7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3.7</w:t>
            </w:r>
          </w:p>
        </w:tc>
        <w:tc>
          <w:tcPr>
            <w:tcW w:w="638" w:type="dxa"/>
            <w:tcBorders>
              <w:top w:val="nil"/>
              <w:left w:val="nil"/>
              <w:bottom w:val="nil"/>
              <w:right w:val="nil"/>
            </w:tcBorders>
            <w:shd w:val="clear" w:color="auto" w:fill="auto"/>
            <w:noWrap/>
            <w:vAlign w:val="bottom"/>
            <w:hideMark/>
          </w:tcPr>
          <w:p w14:paraId="2F7AF2E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0.6</w:t>
            </w:r>
          </w:p>
        </w:tc>
        <w:tc>
          <w:tcPr>
            <w:tcW w:w="782" w:type="dxa"/>
            <w:tcBorders>
              <w:top w:val="nil"/>
              <w:left w:val="nil"/>
              <w:bottom w:val="nil"/>
              <w:right w:val="nil"/>
            </w:tcBorders>
            <w:shd w:val="clear" w:color="auto" w:fill="auto"/>
            <w:noWrap/>
            <w:vAlign w:val="bottom"/>
            <w:hideMark/>
          </w:tcPr>
          <w:p w14:paraId="1AC5B4B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89.2</w:t>
            </w:r>
          </w:p>
        </w:tc>
        <w:tc>
          <w:tcPr>
            <w:tcW w:w="672" w:type="dxa"/>
            <w:tcBorders>
              <w:top w:val="nil"/>
              <w:left w:val="nil"/>
              <w:bottom w:val="nil"/>
              <w:right w:val="nil"/>
            </w:tcBorders>
            <w:shd w:val="clear" w:color="auto" w:fill="auto"/>
            <w:noWrap/>
            <w:vAlign w:val="bottom"/>
            <w:hideMark/>
          </w:tcPr>
          <w:p w14:paraId="2DB231FC"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0.1</w:t>
            </w:r>
          </w:p>
        </w:tc>
        <w:tc>
          <w:tcPr>
            <w:tcW w:w="648" w:type="dxa"/>
            <w:tcBorders>
              <w:top w:val="nil"/>
              <w:left w:val="nil"/>
              <w:bottom w:val="nil"/>
              <w:right w:val="single" w:sz="4" w:space="0" w:color="auto"/>
            </w:tcBorders>
            <w:shd w:val="clear" w:color="auto" w:fill="auto"/>
            <w:noWrap/>
            <w:vAlign w:val="bottom"/>
            <w:hideMark/>
          </w:tcPr>
          <w:p w14:paraId="28346D2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6.3</w:t>
            </w:r>
          </w:p>
        </w:tc>
        <w:tc>
          <w:tcPr>
            <w:tcW w:w="638" w:type="dxa"/>
            <w:tcBorders>
              <w:top w:val="nil"/>
              <w:left w:val="nil"/>
              <w:bottom w:val="nil"/>
              <w:right w:val="nil"/>
            </w:tcBorders>
            <w:shd w:val="clear" w:color="auto" w:fill="auto"/>
            <w:noWrap/>
            <w:vAlign w:val="bottom"/>
            <w:hideMark/>
          </w:tcPr>
          <w:p w14:paraId="7E4C84D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w:t>
            </w:r>
          </w:p>
        </w:tc>
        <w:tc>
          <w:tcPr>
            <w:tcW w:w="638" w:type="dxa"/>
            <w:tcBorders>
              <w:top w:val="nil"/>
              <w:left w:val="nil"/>
              <w:bottom w:val="nil"/>
              <w:right w:val="nil"/>
            </w:tcBorders>
            <w:shd w:val="clear" w:color="auto" w:fill="auto"/>
            <w:noWrap/>
            <w:vAlign w:val="bottom"/>
            <w:hideMark/>
          </w:tcPr>
          <w:p w14:paraId="5891798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98</w:t>
            </w:r>
          </w:p>
        </w:tc>
        <w:tc>
          <w:tcPr>
            <w:tcW w:w="648" w:type="dxa"/>
            <w:tcBorders>
              <w:top w:val="nil"/>
              <w:left w:val="nil"/>
              <w:bottom w:val="nil"/>
              <w:right w:val="single" w:sz="4" w:space="0" w:color="auto"/>
            </w:tcBorders>
            <w:shd w:val="clear" w:color="auto" w:fill="auto"/>
            <w:noWrap/>
            <w:vAlign w:val="bottom"/>
            <w:hideMark/>
          </w:tcPr>
          <w:p w14:paraId="5FF13F2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93</w:t>
            </w:r>
          </w:p>
        </w:tc>
      </w:tr>
      <w:tr w:rsidR="00D86592" w:rsidRPr="007C740F" w14:paraId="2D1D8758"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59A1A5FA"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Rare single gene</w:t>
            </w:r>
          </w:p>
        </w:tc>
        <w:tc>
          <w:tcPr>
            <w:tcW w:w="760" w:type="dxa"/>
            <w:tcBorders>
              <w:top w:val="nil"/>
              <w:left w:val="single" w:sz="4" w:space="0" w:color="auto"/>
              <w:bottom w:val="nil"/>
              <w:right w:val="single" w:sz="4" w:space="0" w:color="auto"/>
            </w:tcBorders>
            <w:shd w:val="clear" w:color="auto" w:fill="auto"/>
            <w:noWrap/>
            <w:vAlign w:val="bottom"/>
            <w:hideMark/>
          </w:tcPr>
          <w:p w14:paraId="2969420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5.70</w:t>
            </w:r>
          </w:p>
        </w:tc>
        <w:tc>
          <w:tcPr>
            <w:tcW w:w="639" w:type="dxa"/>
            <w:tcBorders>
              <w:top w:val="nil"/>
              <w:left w:val="nil"/>
              <w:bottom w:val="nil"/>
              <w:right w:val="nil"/>
            </w:tcBorders>
            <w:shd w:val="clear" w:color="auto" w:fill="auto"/>
            <w:noWrap/>
            <w:vAlign w:val="bottom"/>
            <w:hideMark/>
          </w:tcPr>
          <w:p w14:paraId="4617216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7.0</w:t>
            </w:r>
          </w:p>
        </w:tc>
        <w:tc>
          <w:tcPr>
            <w:tcW w:w="639" w:type="dxa"/>
            <w:tcBorders>
              <w:top w:val="nil"/>
              <w:left w:val="nil"/>
              <w:bottom w:val="nil"/>
              <w:right w:val="nil"/>
            </w:tcBorders>
            <w:shd w:val="clear" w:color="auto" w:fill="auto"/>
            <w:noWrap/>
            <w:vAlign w:val="bottom"/>
            <w:hideMark/>
          </w:tcPr>
          <w:p w14:paraId="0069F10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57.9</w:t>
            </w:r>
          </w:p>
        </w:tc>
        <w:tc>
          <w:tcPr>
            <w:tcW w:w="648" w:type="dxa"/>
            <w:tcBorders>
              <w:top w:val="nil"/>
              <w:left w:val="nil"/>
              <w:bottom w:val="nil"/>
              <w:right w:val="nil"/>
            </w:tcBorders>
            <w:shd w:val="clear" w:color="auto" w:fill="auto"/>
            <w:noWrap/>
            <w:vAlign w:val="bottom"/>
            <w:hideMark/>
          </w:tcPr>
          <w:p w14:paraId="7B501CE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35.0</w:t>
            </w:r>
          </w:p>
        </w:tc>
        <w:tc>
          <w:tcPr>
            <w:tcW w:w="846" w:type="dxa"/>
            <w:tcBorders>
              <w:top w:val="nil"/>
              <w:left w:val="single" w:sz="4" w:space="0" w:color="auto"/>
              <w:bottom w:val="nil"/>
              <w:right w:val="nil"/>
            </w:tcBorders>
            <w:shd w:val="clear" w:color="auto" w:fill="auto"/>
            <w:noWrap/>
            <w:vAlign w:val="bottom"/>
            <w:hideMark/>
          </w:tcPr>
          <w:p w14:paraId="4B721D8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4.7</w:t>
            </w:r>
          </w:p>
        </w:tc>
        <w:tc>
          <w:tcPr>
            <w:tcW w:w="637" w:type="dxa"/>
            <w:tcBorders>
              <w:top w:val="nil"/>
              <w:left w:val="nil"/>
              <w:bottom w:val="nil"/>
              <w:right w:val="nil"/>
            </w:tcBorders>
            <w:shd w:val="clear" w:color="auto" w:fill="auto"/>
            <w:noWrap/>
            <w:vAlign w:val="bottom"/>
            <w:hideMark/>
          </w:tcPr>
          <w:p w14:paraId="73E3376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4.2</w:t>
            </w:r>
          </w:p>
        </w:tc>
        <w:tc>
          <w:tcPr>
            <w:tcW w:w="638" w:type="dxa"/>
            <w:tcBorders>
              <w:top w:val="nil"/>
              <w:left w:val="nil"/>
              <w:bottom w:val="nil"/>
              <w:right w:val="nil"/>
            </w:tcBorders>
            <w:shd w:val="clear" w:color="auto" w:fill="auto"/>
            <w:noWrap/>
            <w:vAlign w:val="bottom"/>
            <w:hideMark/>
          </w:tcPr>
          <w:p w14:paraId="6ED069B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6.4</w:t>
            </w:r>
          </w:p>
        </w:tc>
        <w:tc>
          <w:tcPr>
            <w:tcW w:w="782" w:type="dxa"/>
            <w:tcBorders>
              <w:top w:val="nil"/>
              <w:left w:val="nil"/>
              <w:bottom w:val="nil"/>
              <w:right w:val="nil"/>
            </w:tcBorders>
            <w:shd w:val="clear" w:color="auto" w:fill="auto"/>
            <w:noWrap/>
            <w:vAlign w:val="bottom"/>
            <w:hideMark/>
          </w:tcPr>
          <w:p w14:paraId="4C73830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72" w:type="dxa"/>
            <w:tcBorders>
              <w:top w:val="nil"/>
              <w:left w:val="nil"/>
              <w:bottom w:val="nil"/>
              <w:right w:val="nil"/>
            </w:tcBorders>
            <w:shd w:val="clear" w:color="auto" w:fill="auto"/>
            <w:noWrap/>
            <w:vAlign w:val="bottom"/>
            <w:hideMark/>
          </w:tcPr>
          <w:p w14:paraId="06770B7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29.8</w:t>
            </w:r>
          </w:p>
        </w:tc>
        <w:tc>
          <w:tcPr>
            <w:tcW w:w="648" w:type="dxa"/>
            <w:tcBorders>
              <w:top w:val="nil"/>
              <w:left w:val="nil"/>
              <w:bottom w:val="nil"/>
              <w:right w:val="single" w:sz="4" w:space="0" w:color="auto"/>
            </w:tcBorders>
            <w:shd w:val="clear" w:color="auto" w:fill="auto"/>
            <w:noWrap/>
            <w:vAlign w:val="bottom"/>
            <w:hideMark/>
          </w:tcPr>
          <w:p w14:paraId="1FFEF51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54.7</w:t>
            </w:r>
          </w:p>
        </w:tc>
        <w:tc>
          <w:tcPr>
            <w:tcW w:w="638" w:type="dxa"/>
            <w:tcBorders>
              <w:top w:val="nil"/>
              <w:left w:val="nil"/>
              <w:bottom w:val="nil"/>
              <w:right w:val="nil"/>
            </w:tcBorders>
            <w:shd w:val="clear" w:color="auto" w:fill="auto"/>
            <w:noWrap/>
            <w:vAlign w:val="bottom"/>
            <w:hideMark/>
          </w:tcPr>
          <w:p w14:paraId="130C998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w:t>
            </w:r>
          </w:p>
        </w:tc>
        <w:tc>
          <w:tcPr>
            <w:tcW w:w="638" w:type="dxa"/>
            <w:tcBorders>
              <w:top w:val="nil"/>
              <w:left w:val="nil"/>
              <w:bottom w:val="nil"/>
              <w:right w:val="nil"/>
            </w:tcBorders>
            <w:shd w:val="clear" w:color="auto" w:fill="auto"/>
            <w:noWrap/>
            <w:vAlign w:val="bottom"/>
            <w:hideMark/>
          </w:tcPr>
          <w:p w14:paraId="656A3EF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48</w:t>
            </w:r>
          </w:p>
        </w:tc>
        <w:tc>
          <w:tcPr>
            <w:tcW w:w="648" w:type="dxa"/>
            <w:tcBorders>
              <w:top w:val="nil"/>
              <w:left w:val="nil"/>
              <w:bottom w:val="nil"/>
              <w:right w:val="single" w:sz="4" w:space="0" w:color="auto"/>
            </w:tcBorders>
            <w:shd w:val="clear" w:color="auto" w:fill="auto"/>
            <w:noWrap/>
            <w:vAlign w:val="bottom"/>
            <w:hideMark/>
          </w:tcPr>
          <w:p w14:paraId="37FE2D5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-56</w:t>
            </w:r>
          </w:p>
        </w:tc>
      </w:tr>
      <w:tr w:rsidR="00D86592" w:rsidRPr="007C740F" w14:paraId="5C1793D9"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60DE0BAA"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Hb disorders</w:t>
            </w:r>
          </w:p>
        </w:tc>
        <w:tc>
          <w:tcPr>
            <w:tcW w:w="760" w:type="dxa"/>
            <w:tcBorders>
              <w:top w:val="nil"/>
              <w:left w:val="single" w:sz="4" w:space="0" w:color="auto"/>
              <w:bottom w:val="nil"/>
              <w:right w:val="single" w:sz="4" w:space="0" w:color="auto"/>
            </w:tcBorders>
            <w:shd w:val="clear" w:color="auto" w:fill="auto"/>
            <w:noWrap/>
            <w:vAlign w:val="bottom"/>
            <w:hideMark/>
          </w:tcPr>
          <w:p w14:paraId="41726AA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0.21</w:t>
            </w:r>
          </w:p>
        </w:tc>
        <w:tc>
          <w:tcPr>
            <w:tcW w:w="639" w:type="dxa"/>
            <w:tcBorders>
              <w:top w:val="nil"/>
              <w:left w:val="nil"/>
              <w:bottom w:val="nil"/>
              <w:right w:val="nil"/>
            </w:tcBorders>
            <w:shd w:val="clear" w:color="auto" w:fill="auto"/>
            <w:noWrap/>
            <w:vAlign w:val="bottom"/>
            <w:hideMark/>
          </w:tcPr>
          <w:p w14:paraId="5D723FBD"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w:t>
            </w:r>
          </w:p>
        </w:tc>
        <w:tc>
          <w:tcPr>
            <w:tcW w:w="639" w:type="dxa"/>
            <w:tcBorders>
              <w:top w:val="nil"/>
              <w:left w:val="nil"/>
              <w:bottom w:val="nil"/>
              <w:right w:val="nil"/>
            </w:tcBorders>
            <w:shd w:val="clear" w:color="auto" w:fill="auto"/>
            <w:noWrap/>
            <w:vAlign w:val="bottom"/>
            <w:hideMark/>
          </w:tcPr>
          <w:p w14:paraId="030422E9"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72.6</w:t>
            </w:r>
          </w:p>
        </w:tc>
        <w:tc>
          <w:tcPr>
            <w:tcW w:w="648" w:type="dxa"/>
            <w:tcBorders>
              <w:top w:val="nil"/>
              <w:left w:val="nil"/>
              <w:bottom w:val="nil"/>
              <w:right w:val="nil"/>
            </w:tcBorders>
            <w:shd w:val="clear" w:color="auto" w:fill="auto"/>
            <w:noWrap/>
            <w:vAlign w:val="bottom"/>
            <w:hideMark/>
          </w:tcPr>
          <w:p w14:paraId="50BBF1AD"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27.3</w:t>
            </w:r>
          </w:p>
        </w:tc>
        <w:tc>
          <w:tcPr>
            <w:tcW w:w="846" w:type="dxa"/>
            <w:tcBorders>
              <w:top w:val="nil"/>
              <w:left w:val="single" w:sz="4" w:space="0" w:color="auto"/>
              <w:bottom w:val="nil"/>
              <w:right w:val="nil"/>
            </w:tcBorders>
            <w:shd w:val="clear" w:color="auto" w:fill="auto"/>
            <w:noWrap/>
            <w:vAlign w:val="bottom"/>
            <w:hideMark/>
          </w:tcPr>
          <w:p w14:paraId="55335A0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7.7</w:t>
            </w:r>
          </w:p>
        </w:tc>
        <w:tc>
          <w:tcPr>
            <w:tcW w:w="637" w:type="dxa"/>
            <w:tcBorders>
              <w:top w:val="nil"/>
              <w:left w:val="nil"/>
              <w:bottom w:val="nil"/>
              <w:right w:val="nil"/>
            </w:tcBorders>
            <w:shd w:val="clear" w:color="auto" w:fill="auto"/>
            <w:noWrap/>
            <w:vAlign w:val="bottom"/>
            <w:hideMark/>
          </w:tcPr>
          <w:p w14:paraId="2E12C49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41.3</w:t>
            </w:r>
          </w:p>
        </w:tc>
        <w:tc>
          <w:tcPr>
            <w:tcW w:w="638" w:type="dxa"/>
            <w:tcBorders>
              <w:top w:val="nil"/>
              <w:left w:val="nil"/>
              <w:bottom w:val="nil"/>
              <w:right w:val="nil"/>
            </w:tcBorders>
            <w:shd w:val="clear" w:color="auto" w:fill="auto"/>
            <w:noWrap/>
            <w:vAlign w:val="bottom"/>
            <w:hideMark/>
          </w:tcPr>
          <w:p w14:paraId="210DD31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0.0</w:t>
            </w:r>
          </w:p>
        </w:tc>
        <w:tc>
          <w:tcPr>
            <w:tcW w:w="782" w:type="dxa"/>
            <w:tcBorders>
              <w:top w:val="nil"/>
              <w:left w:val="nil"/>
              <w:bottom w:val="nil"/>
              <w:right w:val="nil"/>
            </w:tcBorders>
            <w:shd w:val="clear" w:color="auto" w:fill="auto"/>
            <w:noWrap/>
            <w:vAlign w:val="bottom"/>
            <w:hideMark/>
          </w:tcPr>
          <w:p w14:paraId="2A66FBB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72" w:type="dxa"/>
            <w:tcBorders>
              <w:top w:val="nil"/>
              <w:left w:val="nil"/>
              <w:bottom w:val="nil"/>
              <w:right w:val="nil"/>
            </w:tcBorders>
            <w:shd w:val="clear" w:color="auto" w:fill="auto"/>
            <w:noWrap/>
            <w:vAlign w:val="bottom"/>
            <w:hideMark/>
          </w:tcPr>
          <w:p w14:paraId="4BD32200"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1.2</w:t>
            </w:r>
          </w:p>
        </w:tc>
        <w:tc>
          <w:tcPr>
            <w:tcW w:w="648" w:type="dxa"/>
            <w:tcBorders>
              <w:top w:val="nil"/>
              <w:left w:val="nil"/>
              <w:bottom w:val="nil"/>
              <w:right w:val="single" w:sz="4" w:space="0" w:color="auto"/>
            </w:tcBorders>
            <w:shd w:val="clear" w:color="auto" w:fill="auto"/>
            <w:noWrap/>
            <w:vAlign w:val="bottom"/>
            <w:hideMark/>
          </w:tcPr>
          <w:p w14:paraId="7DCC2C4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49.6</w:t>
            </w:r>
          </w:p>
        </w:tc>
        <w:tc>
          <w:tcPr>
            <w:tcW w:w="638" w:type="dxa"/>
            <w:tcBorders>
              <w:top w:val="nil"/>
              <w:left w:val="nil"/>
              <w:bottom w:val="nil"/>
              <w:right w:val="nil"/>
            </w:tcBorders>
            <w:shd w:val="clear" w:color="auto" w:fill="auto"/>
            <w:noWrap/>
            <w:vAlign w:val="bottom"/>
            <w:hideMark/>
          </w:tcPr>
          <w:p w14:paraId="1CCB3DD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83</w:t>
            </w:r>
          </w:p>
        </w:tc>
        <w:tc>
          <w:tcPr>
            <w:tcW w:w="638" w:type="dxa"/>
            <w:tcBorders>
              <w:top w:val="nil"/>
              <w:left w:val="nil"/>
              <w:bottom w:val="nil"/>
              <w:right w:val="nil"/>
            </w:tcBorders>
            <w:shd w:val="clear" w:color="auto" w:fill="auto"/>
            <w:noWrap/>
            <w:vAlign w:val="bottom"/>
            <w:hideMark/>
          </w:tcPr>
          <w:p w14:paraId="3C1034CD"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98</w:t>
            </w:r>
          </w:p>
        </w:tc>
        <w:tc>
          <w:tcPr>
            <w:tcW w:w="648" w:type="dxa"/>
            <w:tcBorders>
              <w:top w:val="nil"/>
              <w:left w:val="nil"/>
              <w:bottom w:val="nil"/>
              <w:right w:val="single" w:sz="4" w:space="0" w:color="auto"/>
            </w:tcBorders>
            <w:shd w:val="clear" w:color="auto" w:fill="auto"/>
            <w:noWrap/>
            <w:vAlign w:val="bottom"/>
            <w:hideMark/>
          </w:tcPr>
          <w:p w14:paraId="54C6723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-82</w:t>
            </w:r>
          </w:p>
        </w:tc>
      </w:tr>
      <w:tr w:rsidR="00D86592" w:rsidRPr="007C740F" w14:paraId="19F44495" w14:textId="77777777" w:rsidTr="00B41119">
        <w:trPr>
          <w:trHeight w:val="300"/>
          <w:jc w:val="center"/>
        </w:trPr>
        <w:tc>
          <w:tcPr>
            <w:tcW w:w="1663" w:type="dxa"/>
            <w:tcBorders>
              <w:top w:val="nil"/>
              <w:left w:val="single" w:sz="4" w:space="0" w:color="auto"/>
              <w:bottom w:val="nil"/>
              <w:right w:val="nil"/>
            </w:tcBorders>
            <w:shd w:val="clear" w:color="auto" w:fill="auto"/>
            <w:noWrap/>
            <w:vAlign w:val="bottom"/>
            <w:hideMark/>
          </w:tcPr>
          <w:p w14:paraId="0F8FC1B4"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Rhesus haem dis</w:t>
            </w:r>
          </w:p>
        </w:tc>
        <w:tc>
          <w:tcPr>
            <w:tcW w:w="760" w:type="dxa"/>
            <w:tcBorders>
              <w:top w:val="nil"/>
              <w:left w:val="single" w:sz="4" w:space="0" w:color="auto"/>
              <w:bottom w:val="nil"/>
              <w:right w:val="single" w:sz="4" w:space="0" w:color="auto"/>
            </w:tcBorders>
            <w:shd w:val="clear" w:color="auto" w:fill="auto"/>
            <w:noWrap/>
            <w:vAlign w:val="bottom"/>
            <w:hideMark/>
          </w:tcPr>
          <w:p w14:paraId="1906D00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2.88</w:t>
            </w:r>
          </w:p>
        </w:tc>
        <w:tc>
          <w:tcPr>
            <w:tcW w:w="639" w:type="dxa"/>
            <w:tcBorders>
              <w:top w:val="nil"/>
              <w:left w:val="nil"/>
              <w:bottom w:val="nil"/>
              <w:right w:val="nil"/>
            </w:tcBorders>
            <w:shd w:val="clear" w:color="auto" w:fill="auto"/>
            <w:noWrap/>
            <w:vAlign w:val="bottom"/>
            <w:hideMark/>
          </w:tcPr>
          <w:p w14:paraId="3566D0B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25.0</w:t>
            </w:r>
          </w:p>
        </w:tc>
        <w:tc>
          <w:tcPr>
            <w:tcW w:w="639" w:type="dxa"/>
            <w:tcBorders>
              <w:top w:val="nil"/>
              <w:left w:val="nil"/>
              <w:bottom w:val="nil"/>
              <w:right w:val="nil"/>
            </w:tcBorders>
            <w:shd w:val="clear" w:color="auto" w:fill="auto"/>
            <w:noWrap/>
            <w:vAlign w:val="bottom"/>
            <w:hideMark/>
          </w:tcPr>
          <w:p w14:paraId="4461DD37"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37.5</w:t>
            </w:r>
          </w:p>
        </w:tc>
        <w:tc>
          <w:tcPr>
            <w:tcW w:w="648" w:type="dxa"/>
            <w:tcBorders>
              <w:top w:val="nil"/>
              <w:left w:val="nil"/>
              <w:bottom w:val="nil"/>
              <w:right w:val="nil"/>
            </w:tcBorders>
            <w:shd w:val="clear" w:color="auto" w:fill="auto"/>
            <w:noWrap/>
            <w:vAlign w:val="bottom"/>
            <w:hideMark/>
          </w:tcPr>
          <w:p w14:paraId="79704D8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37.4</w:t>
            </w:r>
          </w:p>
        </w:tc>
        <w:tc>
          <w:tcPr>
            <w:tcW w:w="846" w:type="dxa"/>
            <w:tcBorders>
              <w:top w:val="nil"/>
              <w:left w:val="single" w:sz="4" w:space="0" w:color="auto"/>
              <w:bottom w:val="nil"/>
              <w:right w:val="nil"/>
            </w:tcBorders>
            <w:shd w:val="clear" w:color="auto" w:fill="auto"/>
            <w:noWrap/>
            <w:vAlign w:val="bottom"/>
            <w:hideMark/>
          </w:tcPr>
          <w:p w14:paraId="645C6B32"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99.0</w:t>
            </w:r>
          </w:p>
        </w:tc>
        <w:tc>
          <w:tcPr>
            <w:tcW w:w="637" w:type="dxa"/>
            <w:tcBorders>
              <w:top w:val="nil"/>
              <w:left w:val="nil"/>
              <w:bottom w:val="nil"/>
              <w:right w:val="nil"/>
            </w:tcBorders>
            <w:shd w:val="clear" w:color="auto" w:fill="auto"/>
            <w:noWrap/>
            <w:vAlign w:val="bottom"/>
            <w:hideMark/>
          </w:tcPr>
          <w:p w14:paraId="48894DEE"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38" w:type="dxa"/>
            <w:tcBorders>
              <w:top w:val="nil"/>
              <w:left w:val="nil"/>
              <w:bottom w:val="nil"/>
              <w:right w:val="nil"/>
            </w:tcBorders>
            <w:shd w:val="clear" w:color="auto" w:fill="auto"/>
            <w:noWrap/>
            <w:vAlign w:val="bottom"/>
            <w:hideMark/>
          </w:tcPr>
          <w:p w14:paraId="567F8B76"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0.3</w:t>
            </w:r>
          </w:p>
        </w:tc>
        <w:tc>
          <w:tcPr>
            <w:tcW w:w="782" w:type="dxa"/>
            <w:tcBorders>
              <w:top w:val="nil"/>
              <w:left w:val="nil"/>
              <w:bottom w:val="nil"/>
              <w:right w:val="nil"/>
            </w:tcBorders>
            <w:shd w:val="clear" w:color="auto" w:fill="auto"/>
            <w:noWrap/>
            <w:vAlign w:val="bottom"/>
            <w:hideMark/>
          </w:tcPr>
          <w:p w14:paraId="76160C3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72" w:type="dxa"/>
            <w:tcBorders>
              <w:top w:val="nil"/>
              <w:left w:val="nil"/>
              <w:bottom w:val="nil"/>
              <w:right w:val="nil"/>
            </w:tcBorders>
            <w:shd w:val="clear" w:color="auto" w:fill="auto"/>
            <w:noWrap/>
            <w:vAlign w:val="bottom"/>
            <w:hideMark/>
          </w:tcPr>
          <w:p w14:paraId="46DEF4AB" w14:textId="77777777" w:rsidR="00D86592" w:rsidRPr="007C740F" w:rsidRDefault="00D86592" w:rsidP="008B0B70">
            <w:pPr>
              <w:keepNext/>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single" w:sz="4" w:space="0" w:color="auto"/>
            </w:tcBorders>
            <w:shd w:val="clear" w:color="auto" w:fill="auto"/>
            <w:noWrap/>
            <w:vAlign w:val="bottom"/>
            <w:hideMark/>
          </w:tcPr>
          <w:p w14:paraId="725D0C9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0.7</w:t>
            </w:r>
          </w:p>
        </w:tc>
        <w:tc>
          <w:tcPr>
            <w:tcW w:w="638" w:type="dxa"/>
            <w:tcBorders>
              <w:top w:val="nil"/>
              <w:left w:val="nil"/>
              <w:bottom w:val="nil"/>
              <w:right w:val="nil"/>
            </w:tcBorders>
            <w:shd w:val="clear" w:color="auto" w:fill="auto"/>
            <w:noWrap/>
            <w:vAlign w:val="bottom"/>
            <w:hideMark/>
          </w:tcPr>
          <w:p w14:paraId="76B8560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99</w:t>
            </w:r>
          </w:p>
        </w:tc>
        <w:tc>
          <w:tcPr>
            <w:tcW w:w="638" w:type="dxa"/>
            <w:tcBorders>
              <w:top w:val="nil"/>
              <w:left w:val="nil"/>
              <w:bottom w:val="nil"/>
              <w:right w:val="nil"/>
            </w:tcBorders>
            <w:shd w:val="clear" w:color="auto" w:fill="auto"/>
            <w:noWrap/>
            <w:vAlign w:val="bottom"/>
            <w:hideMark/>
          </w:tcPr>
          <w:p w14:paraId="18C9BA8A"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100</w:t>
            </w:r>
          </w:p>
        </w:tc>
        <w:tc>
          <w:tcPr>
            <w:tcW w:w="648" w:type="dxa"/>
            <w:tcBorders>
              <w:top w:val="nil"/>
              <w:left w:val="nil"/>
              <w:bottom w:val="nil"/>
              <w:right w:val="single" w:sz="4" w:space="0" w:color="auto"/>
            </w:tcBorders>
            <w:shd w:val="clear" w:color="auto" w:fill="auto"/>
            <w:noWrap/>
            <w:vAlign w:val="bottom"/>
            <w:hideMark/>
          </w:tcPr>
          <w:p w14:paraId="0E06122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98</w:t>
            </w:r>
          </w:p>
        </w:tc>
      </w:tr>
      <w:tr w:rsidR="00B41119" w:rsidRPr="007C740F" w14:paraId="2DB7EA1F" w14:textId="77777777" w:rsidTr="00B41119">
        <w:trPr>
          <w:trHeight w:val="300"/>
          <w:jc w:val="center"/>
        </w:trPr>
        <w:tc>
          <w:tcPr>
            <w:tcW w:w="1663" w:type="dxa"/>
            <w:tcBorders>
              <w:top w:val="nil"/>
              <w:left w:val="single" w:sz="4" w:space="0" w:color="auto"/>
              <w:bottom w:val="single" w:sz="4" w:space="0" w:color="auto"/>
              <w:right w:val="nil"/>
            </w:tcBorders>
            <w:shd w:val="clear" w:color="auto" w:fill="auto"/>
            <w:noWrap/>
            <w:vAlign w:val="bottom"/>
            <w:hideMark/>
          </w:tcPr>
          <w:p w14:paraId="4AF7C1C0" w14:textId="77777777" w:rsidR="00D86592" w:rsidRPr="007C740F" w:rsidRDefault="00D86592" w:rsidP="008B0B70">
            <w:pPr>
              <w:keepNext/>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G6PDd NN jaundice</w:t>
            </w:r>
          </w:p>
        </w:tc>
        <w:tc>
          <w:tcPr>
            <w:tcW w:w="760" w:type="dxa"/>
            <w:tcBorders>
              <w:top w:val="nil"/>
              <w:left w:val="single" w:sz="4" w:space="0" w:color="auto"/>
              <w:bottom w:val="nil"/>
              <w:right w:val="single" w:sz="4" w:space="0" w:color="auto"/>
            </w:tcBorders>
            <w:shd w:val="clear" w:color="auto" w:fill="auto"/>
            <w:noWrap/>
            <w:vAlign w:val="bottom"/>
            <w:hideMark/>
          </w:tcPr>
          <w:p w14:paraId="1DD0B06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0.10</w:t>
            </w:r>
          </w:p>
        </w:tc>
        <w:tc>
          <w:tcPr>
            <w:tcW w:w="639" w:type="dxa"/>
            <w:tcBorders>
              <w:top w:val="nil"/>
              <w:left w:val="nil"/>
              <w:bottom w:val="nil"/>
              <w:right w:val="nil"/>
            </w:tcBorders>
            <w:shd w:val="clear" w:color="auto" w:fill="auto"/>
            <w:noWrap/>
            <w:vAlign w:val="bottom"/>
            <w:hideMark/>
          </w:tcPr>
          <w:p w14:paraId="6A0B339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0</w:t>
            </w:r>
          </w:p>
        </w:tc>
        <w:tc>
          <w:tcPr>
            <w:tcW w:w="639" w:type="dxa"/>
            <w:tcBorders>
              <w:top w:val="nil"/>
              <w:left w:val="nil"/>
              <w:bottom w:val="nil"/>
              <w:right w:val="nil"/>
            </w:tcBorders>
            <w:shd w:val="clear" w:color="auto" w:fill="auto"/>
            <w:noWrap/>
            <w:vAlign w:val="bottom"/>
            <w:hideMark/>
          </w:tcPr>
          <w:p w14:paraId="4AC7AE41"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50.0</w:t>
            </w:r>
          </w:p>
        </w:tc>
        <w:tc>
          <w:tcPr>
            <w:tcW w:w="648" w:type="dxa"/>
            <w:tcBorders>
              <w:top w:val="nil"/>
              <w:left w:val="nil"/>
              <w:bottom w:val="nil"/>
              <w:right w:val="nil"/>
            </w:tcBorders>
            <w:shd w:val="clear" w:color="auto" w:fill="auto"/>
            <w:noWrap/>
            <w:vAlign w:val="bottom"/>
            <w:hideMark/>
          </w:tcPr>
          <w:p w14:paraId="6974D17F"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49.8</w:t>
            </w:r>
          </w:p>
        </w:tc>
        <w:tc>
          <w:tcPr>
            <w:tcW w:w="846" w:type="dxa"/>
            <w:tcBorders>
              <w:top w:val="nil"/>
              <w:left w:val="single" w:sz="4" w:space="0" w:color="auto"/>
              <w:bottom w:val="nil"/>
              <w:right w:val="nil"/>
            </w:tcBorders>
            <w:shd w:val="clear" w:color="auto" w:fill="auto"/>
            <w:noWrap/>
            <w:vAlign w:val="bottom"/>
            <w:hideMark/>
          </w:tcPr>
          <w:p w14:paraId="4195E5D4"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7" w:type="dxa"/>
            <w:tcBorders>
              <w:top w:val="nil"/>
              <w:left w:val="nil"/>
              <w:bottom w:val="nil"/>
              <w:right w:val="nil"/>
            </w:tcBorders>
            <w:shd w:val="clear" w:color="auto" w:fill="auto"/>
            <w:noWrap/>
            <w:vAlign w:val="bottom"/>
            <w:hideMark/>
          </w:tcPr>
          <w:p w14:paraId="2E9ED70D"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38" w:type="dxa"/>
            <w:tcBorders>
              <w:top w:val="nil"/>
              <w:left w:val="nil"/>
              <w:bottom w:val="nil"/>
              <w:right w:val="nil"/>
            </w:tcBorders>
            <w:shd w:val="clear" w:color="auto" w:fill="auto"/>
            <w:noWrap/>
            <w:vAlign w:val="bottom"/>
            <w:hideMark/>
          </w:tcPr>
          <w:p w14:paraId="1EACC9D1" w14:textId="77777777" w:rsidR="00D86592" w:rsidRPr="007C740F" w:rsidRDefault="00D86592" w:rsidP="008B0B70">
            <w:pPr>
              <w:keepNext/>
              <w:spacing w:after="0" w:line="240" w:lineRule="auto"/>
              <w:jc w:val="center"/>
              <w:rPr>
                <w:rFonts w:ascii="Times New Roman" w:eastAsia="Times New Roman" w:hAnsi="Times New Roman" w:cs="Times New Roman"/>
                <w:sz w:val="20"/>
                <w:szCs w:val="20"/>
                <w:lang w:eastAsia="en-GB"/>
              </w:rPr>
            </w:pPr>
          </w:p>
        </w:tc>
        <w:tc>
          <w:tcPr>
            <w:tcW w:w="782" w:type="dxa"/>
            <w:tcBorders>
              <w:top w:val="nil"/>
              <w:left w:val="nil"/>
              <w:bottom w:val="nil"/>
              <w:right w:val="nil"/>
            </w:tcBorders>
            <w:shd w:val="clear" w:color="auto" w:fill="auto"/>
            <w:noWrap/>
            <w:vAlign w:val="bottom"/>
            <w:hideMark/>
          </w:tcPr>
          <w:p w14:paraId="65C72453"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100</w:t>
            </w:r>
          </w:p>
        </w:tc>
        <w:tc>
          <w:tcPr>
            <w:tcW w:w="672" w:type="dxa"/>
            <w:tcBorders>
              <w:top w:val="nil"/>
              <w:left w:val="nil"/>
              <w:bottom w:val="nil"/>
              <w:right w:val="nil"/>
            </w:tcBorders>
            <w:shd w:val="clear" w:color="auto" w:fill="auto"/>
            <w:noWrap/>
            <w:vAlign w:val="bottom"/>
            <w:hideMark/>
          </w:tcPr>
          <w:p w14:paraId="23C97658"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p>
        </w:tc>
        <w:tc>
          <w:tcPr>
            <w:tcW w:w="648" w:type="dxa"/>
            <w:tcBorders>
              <w:top w:val="nil"/>
              <w:left w:val="nil"/>
              <w:bottom w:val="nil"/>
              <w:right w:val="single" w:sz="4" w:space="0" w:color="auto"/>
            </w:tcBorders>
            <w:shd w:val="clear" w:color="auto" w:fill="auto"/>
            <w:noWrap/>
            <w:vAlign w:val="bottom"/>
            <w:hideMark/>
          </w:tcPr>
          <w:p w14:paraId="02CDE0EB"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8" w:type="dxa"/>
            <w:tcBorders>
              <w:top w:val="nil"/>
              <w:left w:val="nil"/>
              <w:bottom w:val="nil"/>
              <w:right w:val="nil"/>
            </w:tcBorders>
            <w:shd w:val="clear" w:color="auto" w:fill="auto"/>
            <w:noWrap/>
            <w:vAlign w:val="bottom"/>
            <w:hideMark/>
          </w:tcPr>
          <w:p w14:paraId="2F3A4DC5" w14:textId="77777777" w:rsidR="00D86592" w:rsidRPr="007C740F" w:rsidRDefault="00D86592"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w:t>
            </w:r>
          </w:p>
        </w:tc>
        <w:tc>
          <w:tcPr>
            <w:tcW w:w="638" w:type="dxa"/>
            <w:tcBorders>
              <w:top w:val="nil"/>
              <w:left w:val="nil"/>
              <w:bottom w:val="nil"/>
              <w:right w:val="nil"/>
            </w:tcBorders>
            <w:shd w:val="clear" w:color="auto" w:fill="auto"/>
            <w:noWrap/>
            <w:vAlign w:val="bottom"/>
            <w:hideMark/>
          </w:tcPr>
          <w:p w14:paraId="6AC65376" w14:textId="0FBE2A67" w:rsidR="00D86592" w:rsidRPr="007C740F" w:rsidRDefault="009C2B09"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100</w:t>
            </w:r>
          </w:p>
        </w:tc>
        <w:tc>
          <w:tcPr>
            <w:tcW w:w="648" w:type="dxa"/>
            <w:tcBorders>
              <w:top w:val="nil"/>
              <w:left w:val="nil"/>
              <w:bottom w:val="nil"/>
              <w:right w:val="single" w:sz="4" w:space="0" w:color="auto"/>
            </w:tcBorders>
            <w:shd w:val="clear" w:color="auto" w:fill="auto"/>
            <w:noWrap/>
            <w:vAlign w:val="bottom"/>
            <w:hideMark/>
          </w:tcPr>
          <w:p w14:paraId="557CBEFE" w14:textId="49A021AF" w:rsidR="00D86592" w:rsidRPr="007C740F" w:rsidRDefault="009C2B09" w:rsidP="008B0B70">
            <w:pPr>
              <w:keepNext/>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100</w:t>
            </w:r>
            <w:r w:rsidR="00D86592" w:rsidRPr="007C740F">
              <w:rPr>
                <w:rFonts w:ascii="Calibri" w:eastAsia="Times New Roman" w:hAnsi="Calibri" w:cs="Calibri"/>
                <w:color w:val="000000"/>
                <w:sz w:val="16"/>
                <w:szCs w:val="16"/>
                <w:lang w:eastAsia="en-GB"/>
              </w:rPr>
              <w:t> </w:t>
            </w:r>
          </w:p>
        </w:tc>
      </w:tr>
      <w:tr w:rsidR="00D86592" w:rsidRPr="007C740F" w14:paraId="20356671" w14:textId="77777777" w:rsidTr="00B41119">
        <w:trPr>
          <w:trHeight w:val="315"/>
          <w:jc w:val="center"/>
        </w:trPr>
        <w:tc>
          <w:tcPr>
            <w:tcW w:w="1663" w:type="dxa"/>
            <w:tcBorders>
              <w:top w:val="single" w:sz="4" w:space="0" w:color="auto"/>
              <w:left w:val="single" w:sz="4" w:space="0" w:color="auto"/>
              <w:bottom w:val="double" w:sz="6" w:space="0" w:color="auto"/>
              <w:right w:val="nil"/>
            </w:tcBorders>
            <w:shd w:val="clear" w:color="auto" w:fill="auto"/>
            <w:noWrap/>
            <w:vAlign w:val="bottom"/>
            <w:hideMark/>
          </w:tcPr>
          <w:p w14:paraId="039D648F" w14:textId="0A929CC2" w:rsidR="00D86592" w:rsidRPr="007C740F" w:rsidRDefault="00D86592" w:rsidP="00D86592">
            <w:pPr>
              <w:spacing w:after="0" w:line="240" w:lineRule="auto"/>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 xml:space="preserve">Total </w:t>
            </w:r>
          </w:p>
        </w:tc>
        <w:tc>
          <w:tcPr>
            <w:tcW w:w="7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8276564"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35.13</w:t>
            </w:r>
          </w:p>
        </w:tc>
        <w:tc>
          <w:tcPr>
            <w:tcW w:w="639" w:type="dxa"/>
            <w:tcBorders>
              <w:top w:val="single" w:sz="4" w:space="0" w:color="auto"/>
              <w:left w:val="nil"/>
              <w:bottom w:val="double" w:sz="6" w:space="0" w:color="auto"/>
              <w:right w:val="nil"/>
            </w:tcBorders>
            <w:shd w:val="clear" w:color="auto" w:fill="auto"/>
            <w:noWrap/>
            <w:vAlign w:val="bottom"/>
            <w:hideMark/>
          </w:tcPr>
          <w:p w14:paraId="2A6983F2"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7.0</w:t>
            </w:r>
          </w:p>
        </w:tc>
        <w:tc>
          <w:tcPr>
            <w:tcW w:w="639" w:type="dxa"/>
            <w:tcBorders>
              <w:top w:val="single" w:sz="4" w:space="0" w:color="auto"/>
              <w:left w:val="nil"/>
              <w:bottom w:val="double" w:sz="6" w:space="0" w:color="auto"/>
              <w:right w:val="nil"/>
            </w:tcBorders>
            <w:shd w:val="clear" w:color="auto" w:fill="auto"/>
            <w:noWrap/>
            <w:vAlign w:val="bottom"/>
            <w:hideMark/>
          </w:tcPr>
          <w:p w14:paraId="2CF7B3DB"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56.8</w:t>
            </w:r>
          </w:p>
        </w:tc>
        <w:tc>
          <w:tcPr>
            <w:tcW w:w="648" w:type="dxa"/>
            <w:tcBorders>
              <w:top w:val="single" w:sz="4" w:space="0" w:color="auto"/>
              <w:left w:val="nil"/>
              <w:bottom w:val="double" w:sz="6" w:space="0" w:color="auto"/>
              <w:right w:val="nil"/>
            </w:tcBorders>
            <w:shd w:val="clear" w:color="auto" w:fill="auto"/>
            <w:noWrap/>
            <w:vAlign w:val="bottom"/>
            <w:hideMark/>
          </w:tcPr>
          <w:p w14:paraId="35BBA357"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36.2</w:t>
            </w:r>
          </w:p>
        </w:tc>
        <w:tc>
          <w:tcPr>
            <w:tcW w:w="846" w:type="dxa"/>
            <w:tcBorders>
              <w:top w:val="single" w:sz="4" w:space="0" w:color="auto"/>
              <w:left w:val="single" w:sz="4" w:space="0" w:color="auto"/>
              <w:bottom w:val="double" w:sz="6" w:space="0" w:color="auto"/>
              <w:right w:val="nil"/>
            </w:tcBorders>
            <w:shd w:val="clear" w:color="auto" w:fill="auto"/>
            <w:noWrap/>
            <w:vAlign w:val="bottom"/>
            <w:hideMark/>
          </w:tcPr>
          <w:p w14:paraId="7A75FEB8"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10.6</w:t>
            </w:r>
          </w:p>
        </w:tc>
        <w:tc>
          <w:tcPr>
            <w:tcW w:w="637" w:type="dxa"/>
            <w:tcBorders>
              <w:top w:val="single" w:sz="4" w:space="0" w:color="auto"/>
              <w:left w:val="nil"/>
              <w:bottom w:val="double" w:sz="6" w:space="0" w:color="auto"/>
              <w:right w:val="nil"/>
            </w:tcBorders>
            <w:shd w:val="clear" w:color="auto" w:fill="auto"/>
            <w:noWrap/>
            <w:vAlign w:val="bottom"/>
            <w:hideMark/>
          </w:tcPr>
          <w:p w14:paraId="1BB9C8F0"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14.4</w:t>
            </w:r>
          </w:p>
        </w:tc>
        <w:tc>
          <w:tcPr>
            <w:tcW w:w="638" w:type="dxa"/>
            <w:tcBorders>
              <w:top w:val="single" w:sz="4" w:space="0" w:color="auto"/>
              <w:left w:val="nil"/>
              <w:bottom w:val="double" w:sz="6" w:space="0" w:color="auto"/>
              <w:right w:val="nil"/>
            </w:tcBorders>
            <w:shd w:val="clear" w:color="auto" w:fill="auto"/>
            <w:noWrap/>
            <w:vAlign w:val="bottom"/>
            <w:hideMark/>
          </w:tcPr>
          <w:p w14:paraId="415E6ED6"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2.8</w:t>
            </w:r>
          </w:p>
        </w:tc>
        <w:tc>
          <w:tcPr>
            <w:tcW w:w="782" w:type="dxa"/>
            <w:tcBorders>
              <w:top w:val="single" w:sz="4" w:space="0" w:color="auto"/>
              <w:left w:val="nil"/>
              <w:bottom w:val="double" w:sz="6" w:space="0" w:color="auto"/>
              <w:right w:val="nil"/>
            </w:tcBorders>
            <w:shd w:val="clear" w:color="auto" w:fill="auto"/>
            <w:noWrap/>
            <w:vAlign w:val="bottom"/>
            <w:hideMark/>
          </w:tcPr>
          <w:p w14:paraId="5ECEE4CD"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40.5</w:t>
            </w:r>
          </w:p>
        </w:tc>
        <w:tc>
          <w:tcPr>
            <w:tcW w:w="672" w:type="dxa"/>
            <w:tcBorders>
              <w:top w:val="single" w:sz="4" w:space="0" w:color="auto"/>
              <w:left w:val="nil"/>
              <w:bottom w:val="double" w:sz="6" w:space="0" w:color="auto"/>
              <w:right w:val="nil"/>
            </w:tcBorders>
            <w:shd w:val="clear" w:color="auto" w:fill="auto"/>
            <w:noWrap/>
            <w:vAlign w:val="bottom"/>
            <w:hideMark/>
          </w:tcPr>
          <w:p w14:paraId="422C7D3D"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6.5</w:t>
            </w:r>
          </w:p>
        </w:tc>
        <w:tc>
          <w:tcPr>
            <w:tcW w:w="648" w:type="dxa"/>
            <w:tcBorders>
              <w:top w:val="single" w:sz="4" w:space="0" w:color="auto"/>
              <w:left w:val="nil"/>
              <w:bottom w:val="double" w:sz="6" w:space="0" w:color="auto"/>
              <w:right w:val="single" w:sz="4" w:space="0" w:color="auto"/>
            </w:tcBorders>
            <w:shd w:val="clear" w:color="auto" w:fill="auto"/>
            <w:noWrap/>
            <w:vAlign w:val="bottom"/>
            <w:hideMark/>
          </w:tcPr>
          <w:p w14:paraId="3FCD7529"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25.1</w:t>
            </w:r>
          </w:p>
        </w:tc>
        <w:tc>
          <w:tcPr>
            <w:tcW w:w="638" w:type="dxa"/>
            <w:tcBorders>
              <w:top w:val="single" w:sz="4" w:space="0" w:color="auto"/>
              <w:left w:val="nil"/>
              <w:bottom w:val="double" w:sz="6" w:space="0" w:color="auto"/>
              <w:right w:val="nil"/>
            </w:tcBorders>
            <w:shd w:val="clear" w:color="auto" w:fill="auto"/>
            <w:noWrap/>
            <w:vAlign w:val="bottom"/>
            <w:hideMark/>
          </w:tcPr>
          <w:p w14:paraId="4814843B"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60</w:t>
            </w:r>
          </w:p>
        </w:tc>
        <w:tc>
          <w:tcPr>
            <w:tcW w:w="638" w:type="dxa"/>
            <w:tcBorders>
              <w:top w:val="single" w:sz="4" w:space="0" w:color="auto"/>
              <w:left w:val="nil"/>
              <w:bottom w:val="double" w:sz="6" w:space="0" w:color="auto"/>
              <w:right w:val="nil"/>
            </w:tcBorders>
            <w:shd w:val="clear" w:color="auto" w:fill="auto"/>
            <w:noWrap/>
            <w:vAlign w:val="bottom"/>
            <w:hideMark/>
          </w:tcPr>
          <w:p w14:paraId="56219935"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88</w:t>
            </w:r>
          </w:p>
        </w:tc>
        <w:tc>
          <w:tcPr>
            <w:tcW w:w="648" w:type="dxa"/>
            <w:tcBorders>
              <w:top w:val="single" w:sz="4" w:space="0" w:color="auto"/>
              <w:left w:val="nil"/>
              <w:bottom w:val="double" w:sz="6" w:space="0" w:color="auto"/>
              <w:right w:val="single" w:sz="4" w:space="0" w:color="auto"/>
            </w:tcBorders>
            <w:shd w:val="clear" w:color="auto" w:fill="auto"/>
            <w:noWrap/>
            <w:vAlign w:val="bottom"/>
            <w:hideMark/>
          </w:tcPr>
          <w:p w14:paraId="61FF74EC" w14:textId="77777777" w:rsidR="00D86592" w:rsidRPr="007C740F" w:rsidRDefault="00D86592" w:rsidP="00D86592">
            <w:pPr>
              <w:spacing w:after="0" w:line="240" w:lineRule="auto"/>
              <w:jc w:val="center"/>
              <w:rPr>
                <w:rFonts w:ascii="Calibri" w:eastAsia="Times New Roman" w:hAnsi="Calibri" w:cs="Calibri"/>
                <w:color w:val="000000"/>
                <w:sz w:val="16"/>
                <w:szCs w:val="16"/>
                <w:lang w:eastAsia="en-GB"/>
              </w:rPr>
            </w:pPr>
            <w:r w:rsidRPr="007C740F">
              <w:rPr>
                <w:rFonts w:ascii="Calibri" w:eastAsia="Times New Roman" w:hAnsi="Calibri" w:cs="Calibri"/>
                <w:color w:val="000000"/>
                <w:sz w:val="16"/>
                <w:szCs w:val="16"/>
                <w:lang w:eastAsia="en-GB"/>
              </w:rPr>
              <w:t>31</w:t>
            </w:r>
          </w:p>
        </w:tc>
      </w:tr>
    </w:tbl>
    <w:p w14:paraId="6B59F900" w14:textId="362B63C8" w:rsidR="007D4F68" w:rsidRPr="007C740F" w:rsidRDefault="008754D9" w:rsidP="00CE1D01">
      <w:pPr>
        <w:pStyle w:val="Heading1"/>
      </w:pPr>
      <w:bookmarkStart w:id="22" w:name="_Toc193659673"/>
      <w:r w:rsidRPr="007C740F">
        <w:t>A</w:t>
      </w:r>
      <w:r w:rsidR="009F32EE" w:rsidRPr="007C740F">
        <w:t>ctual effects of interventions</w:t>
      </w:r>
      <w:r w:rsidRPr="007C740F">
        <w:t>, 20</w:t>
      </w:r>
      <w:r w:rsidR="00B41119" w:rsidRPr="007C740F">
        <w:t>20</w:t>
      </w:r>
      <w:r w:rsidRPr="007C740F">
        <w:t>-</w:t>
      </w:r>
      <w:r w:rsidR="00B41119" w:rsidRPr="007C740F">
        <w:t>24</w:t>
      </w:r>
      <w:r w:rsidR="00751AC1" w:rsidRPr="007C740F">
        <w:t xml:space="preserve"> estimates</w:t>
      </w:r>
      <w:bookmarkEnd w:id="22"/>
    </w:p>
    <w:p w14:paraId="75B26577" w14:textId="77777777" w:rsidR="00E125EB" w:rsidRPr="007C740F" w:rsidRDefault="00E125EB" w:rsidP="00CE1D01">
      <w:pPr>
        <w:pStyle w:val="Heading2"/>
      </w:pPr>
      <w:bookmarkStart w:id="23" w:name="_Toc193659674"/>
      <w:r w:rsidRPr="007C740F">
        <w:t>Folic acid food fortification</w:t>
      </w:r>
      <w:bookmarkEnd w:id="23"/>
    </w:p>
    <w:p w14:paraId="57EB78CB" w14:textId="0D0012B0" w:rsidR="00D32F57" w:rsidRPr="007C740F" w:rsidRDefault="001D1DBE" w:rsidP="001F6D1C">
      <w:pPr>
        <w:pStyle w:val="BodyText1"/>
        <w:jc w:val="both"/>
      </w:pPr>
      <w:r w:rsidRPr="007C740F">
        <w:t>Folic acid food f</w:t>
      </w:r>
      <w:r w:rsidR="00114C87" w:rsidRPr="007C740F">
        <w:t xml:space="preserve">ortification </w:t>
      </w:r>
      <w:r w:rsidR="004669FA" w:rsidRPr="007C740F">
        <w:t>that delivers</w:t>
      </w:r>
      <w:r w:rsidR="00114C87" w:rsidRPr="007C740F">
        <w:t xml:space="preserve"> </w:t>
      </w:r>
      <w:r w:rsidR="002B492B" w:rsidRPr="007C740F">
        <w:t xml:space="preserve">an </w:t>
      </w:r>
      <w:r w:rsidR="00114C87" w:rsidRPr="007C740F">
        <w:t xml:space="preserve">average </w:t>
      </w:r>
      <w:r w:rsidR="002B492B" w:rsidRPr="007C740F">
        <w:t xml:space="preserve">of at least </w:t>
      </w:r>
      <w:r w:rsidR="00114C87" w:rsidRPr="007C740F">
        <w:t xml:space="preserve">100 parts per million (ppm) reduces neural tube defect birth prevalence to approximately 0.77/1,000, whatever the pre-fortification birth prevalence (Williams et al. 2015, Arth et al. 2016). </w:t>
      </w:r>
      <w:r w:rsidR="004669FA" w:rsidRPr="007C740F">
        <w:t>T</w:t>
      </w:r>
      <w:r w:rsidR="00E93ADD" w:rsidRPr="007C740F">
        <w:t xml:space="preserve">he MGDb </w:t>
      </w:r>
      <w:r w:rsidR="004669FA" w:rsidRPr="007C740F">
        <w:t xml:space="preserve">applies </w:t>
      </w:r>
      <w:r w:rsidR="001A3BE6" w:rsidRPr="007C740F">
        <w:t>t</w:t>
      </w:r>
      <w:r w:rsidR="002B492B" w:rsidRPr="007C740F">
        <w:t>his general principle to</w:t>
      </w:r>
      <w:r w:rsidR="00AF587F" w:rsidRPr="007C740F">
        <w:t xml:space="preserve"> estimate</w:t>
      </w:r>
      <w:r w:rsidR="002B492B" w:rsidRPr="007C740F">
        <w:t xml:space="preserve"> </w:t>
      </w:r>
      <w:r w:rsidR="00AF587F" w:rsidRPr="007C740F">
        <w:t xml:space="preserve">(a) </w:t>
      </w:r>
      <w:r w:rsidR="00E125EB" w:rsidRPr="007C740F">
        <w:t xml:space="preserve">the potential </w:t>
      </w:r>
      <w:r w:rsidR="00501A0D" w:rsidRPr="007C740F">
        <w:t xml:space="preserve">effect </w:t>
      </w:r>
      <w:r w:rsidR="00E125EB" w:rsidRPr="007C740F">
        <w:t>of folic acid food fortification</w:t>
      </w:r>
      <w:r w:rsidR="001A3BE6" w:rsidRPr="007C740F">
        <w:t xml:space="preserve"> </w:t>
      </w:r>
      <w:r w:rsidR="00AD5AD1" w:rsidRPr="007C740F">
        <w:t xml:space="preserve">and </w:t>
      </w:r>
      <w:r w:rsidR="00AF587F" w:rsidRPr="007C740F">
        <w:t xml:space="preserve">(b) </w:t>
      </w:r>
      <w:r w:rsidR="00AD5AD1" w:rsidRPr="007C740F">
        <w:t>its actual impact</w:t>
      </w:r>
      <w:r w:rsidR="000553A6" w:rsidRPr="007C740F">
        <w:t xml:space="preserve"> </w:t>
      </w:r>
      <w:r w:rsidR="00AF587F" w:rsidRPr="007C740F">
        <w:t>using the reported actual reach of fortification in 2017 (Kancherla et al 2018) (</w:t>
      </w:r>
      <w:r w:rsidR="00E93ADD" w:rsidRPr="007C740F">
        <w:t xml:space="preserve">Table </w:t>
      </w:r>
      <w:r w:rsidR="008B0B70" w:rsidRPr="007C740F">
        <w:t>6</w:t>
      </w:r>
      <w:r w:rsidR="00D645D6" w:rsidRPr="007C740F">
        <w:t>)</w:t>
      </w:r>
      <w:r w:rsidR="00AF587F" w:rsidRPr="007C740F">
        <w:t>.</w:t>
      </w:r>
      <w:r w:rsidR="00AF587F" w:rsidRPr="007C740F">
        <w:rPr>
          <w:rStyle w:val="FootnoteReference"/>
        </w:rPr>
        <w:footnoteReference w:id="20"/>
      </w:r>
    </w:p>
    <w:p w14:paraId="4CC197DA" w14:textId="48C34549" w:rsidR="00E93ADD" w:rsidRPr="007C740F" w:rsidRDefault="00E93ADD" w:rsidP="001F6D1C">
      <w:pPr>
        <w:pStyle w:val="BodyText1"/>
        <w:spacing w:before="120"/>
        <w:jc w:val="both"/>
      </w:pPr>
      <w:r w:rsidRPr="007C740F">
        <w:t>Folic acid food fortification</w:t>
      </w:r>
      <w:r w:rsidR="004669FA" w:rsidRPr="007C740F">
        <w:t xml:space="preserve"> </w:t>
      </w:r>
      <w:r w:rsidR="007E6E04" w:rsidRPr="007C740F">
        <w:t>can have</w:t>
      </w:r>
      <w:r w:rsidR="004669FA" w:rsidRPr="007C740F">
        <w:t xml:space="preserve"> </w:t>
      </w:r>
      <w:r w:rsidRPr="007C740F">
        <w:t>an important effect even whe</w:t>
      </w:r>
      <w:r w:rsidR="00D645D6" w:rsidRPr="007C740F">
        <w:t>re</w:t>
      </w:r>
      <w:r w:rsidRPr="007C740F">
        <w:t xml:space="preserve"> access to health services is very limited as in AFR. </w:t>
      </w:r>
      <w:r w:rsidR="00DF0CD9" w:rsidRPr="007C740F">
        <w:t xml:space="preserve">The </w:t>
      </w:r>
      <w:r w:rsidR="004669FA" w:rsidRPr="007C740F">
        <w:t xml:space="preserve">majority of </w:t>
      </w:r>
      <w:r w:rsidRPr="007C740F">
        <w:t xml:space="preserve">preventable neural tube defects are actually prevented in AMR (where baseline birth prevalence is relatively low) but </w:t>
      </w:r>
      <w:r w:rsidR="004669FA" w:rsidRPr="007C740F">
        <w:t xml:space="preserve">there </w:t>
      </w:r>
      <w:r w:rsidR="00AF587F" w:rsidRPr="007C740F">
        <w:t xml:space="preserve">may </w:t>
      </w:r>
      <w:r w:rsidR="00D645D6" w:rsidRPr="007C740F">
        <w:t xml:space="preserve">have been </w:t>
      </w:r>
      <w:r w:rsidRPr="007C740F">
        <w:t xml:space="preserve">relatively </w:t>
      </w:r>
      <w:r w:rsidR="004669FA" w:rsidRPr="007C740F">
        <w:t xml:space="preserve">little effect </w:t>
      </w:r>
      <w:r w:rsidRPr="007C740F">
        <w:t>in SEAR where baseline birth prevalence is highest.</w:t>
      </w:r>
      <w:r w:rsidRPr="007C740F">
        <w:rPr>
          <w:rStyle w:val="FootnoteReference"/>
        </w:rPr>
        <w:footnoteReference w:id="21"/>
      </w:r>
    </w:p>
    <w:p w14:paraId="7F85F99B" w14:textId="5D1331E1" w:rsidR="00436CF3" w:rsidRPr="007C740F" w:rsidRDefault="00AD2999" w:rsidP="00AF587F">
      <w:pPr>
        <w:pStyle w:val="Tableheader"/>
      </w:pPr>
      <w:r w:rsidRPr="007C740F">
        <w:lastRenderedPageBreak/>
        <w:t xml:space="preserve">Table </w:t>
      </w:r>
      <w:r w:rsidR="008B0B70" w:rsidRPr="007C740F">
        <w:t>6</w:t>
      </w:r>
      <w:r w:rsidR="00436CF3" w:rsidRPr="007C740F">
        <w:t xml:space="preserve">. Estimated baseline birth prevalence of </w:t>
      </w:r>
      <w:r w:rsidR="00E125EB" w:rsidRPr="007C740F">
        <w:t>NTD</w:t>
      </w:r>
      <w:r w:rsidR="00436CF3" w:rsidRPr="007C740F">
        <w:t xml:space="preserve">, </w:t>
      </w:r>
      <w:r w:rsidR="00A33815" w:rsidRPr="007C740F">
        <w:t>rate /1,000 births,</w:t>
      </w:r>
      <w:r w:rsidR="00436CF3" w:rsidRPr="007C740F">
        <w:t xml:space="preserve"> proportion</w:t>
      </w:r>
      <w:r w:rsidR="00D47754" w:rsidRPr="007C740F">
        <w:t>s</w:t>
      </w:r>
      <w:r w:rsidR="00436CF3" w:rsidRPr="007C740F">
        <w:t xml:space="preserve"> potentially preventable and actually prevented</w:t>
      </w:r>
      <w:r w:rsidR="00E125EB" w:rsidRPr="007C740F">
        <w:t xml:space="preserve"> in </w:t>
      </w:r>
      <w:r w:rsidR="003A4067" w:rsidRPr="007C740F">
        <w:t>2019</w:t>
      </w:r>
      <w:r w:rsidR="00751AC1" w:rsidRPr="007C740F">
        <w:t xml:space="preserve"> </w:t>
      </w:r>
      <w:r w:rsidR="00436CF3" w:rsidRPr="007C740F">
        <w:t>by WHO region</w:t>
      </w:r>
      <w:r w:rsidR="003A4067" w:rsidRPr="007C740F">
        <w:t xml:space="preserve"> (based on Kancherla et al.</w:t>
      </w:r>
      <w:r w:rsidR="00D47754" w:rsidRPr="007C740F">
        <w:t>2018)</w:t>
      </w:r>
    </w:p>
    <w:tbl>
      <w:tblPr>
        <w:tblW w:w="6400" w:type="dxa"/>
        <w:jc w:val="center"/>
        <w:tblLook w:val="04A0" w:firstRow="1" w:lastRow="0" w:firstColumn="1" w:lastColumn="0" w:noHBand="0" w:noVBand="1"/>
      </w:tblPr>
      <w:tblGrid>
        <w:gridCol w:w="960"/>
        <w:gridCol w:w="827"/>
        <w:gridCol w:w="844"/>
        <w:gridCol w:w="844"/>
        <w:gridCol w:w="973"/>
        <w:gridCol w:w="973"/>
        <w:gridCol w:w="1120"/>
      </w:tblGrid>
      <w:tr w:rsidR="00751AC1" w:rsidRPr="007C740F" w14:paraId="0CCDA72B" w14:textId="77777777" w:rsidTr="004669FA">
        <w:trPr>
          <w:trHeight w:val="960"/>
          <w:jc w:val="center"/>
        </w:trPr>
        <w:tc>
          <w:tcPr>
            <w:tcW w:w="960" w:type="dxa"/>
            <w:tcBorders>
              <w:top w:val="single" w:sz="4" w:space="0" w:color="auto"/>
              <w:left w:val="single" w:sz="4" w:space="0" w:color="auto"/>
              <w:bottom w:val="single" w:sz="4" w:space="0" w:color="auto"/>
              <w:right w:val="nil"/>
            </w:tcBorders>
            <w:shd w:val="clear" w:color="auto" w:fill="auto"/>
            <w:vAlign w:val="bottom"/>
            <w:hideMark/>
          </w:tcPr>
          <w:p w14:paraId="5DD1C5C5" w14:textId="77777777" w:rsidR="00751AC1" w:rsidRPr="007C740F" w:rsidRDefault="00751AC1" w:rsidP="00AF587F">
            <w:pPr>
              <w:keepNext/>
              <w:spacing w:after="0" w:line="240" w:lineRule="auto"/>
              <w:rPr>
                <w:rFonts w:ascii="Calibri Light" w:eastAsia="Times New Roman" w:hAnsi="Calibri Light" w:cs="Times New Roman"/>
                <w:color w:val="000000"/>
                <w:sz w:val="18"/>
                <w:szCs w:val="18"/>
                <w:lang w:eastAsia="en-GB"/>
              </w:rPr>
            </w:pPr>
            <w:r w:rsidRPr="007C740F">
              <w:rPr>
                <w:rFonts w:ascii="Calibri Light" w:eastAsia="Times New Roman" w:hAnsi="Calibri Light" w:cs="Times New Roman"/>
                <w:color w:val="000000"/>
                <w:sz w:val="18"/>
                <w:szCs w:val="18"/>
                <w:lang w:eastAsia="en-GB"/>
              </w:rPr>
              <w:t>WHO region</w:t>
            </w:r>
          </w:p>
        </w:tc>
        <w:tc>
          <w:tcPr>
            <w:tcW w:w="800" w:type="dxa"/>
            <w:tcBorders>
              <w:top w:val="single" w:sz="4" w:space="0" w:color="auto"/>
              <w:left w:val="single" w:sz="4" w:space="0" w:color="auto"/>
              <w:bottom w:val="single" w:sz="4" w:space="0" w:color="auto"/>
              <w:right w:val="nil"/>
            </w:tcBorders>
            <w:shd w:val="clear" w:color="auto" w:fill="auto"/>
            <w:vAlign w:val="bottom"/>
            <w:hideMark/>
          </w:tcPr>
          <w:p w14:paraId="539D023D"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Baseline NTD /1,000</w:t>
            </w:r>
          </w:p>
        </w:tc>
        <w:tc>
          <w:tcPr>
            <w:tcW w:w="780" w:type="dxa"/>
            <w:tcBorders>
              <w:top w:val="single" w:sz="4" w:space="0" w:color="auto"/>
              <w:left w:val="nil"/>
              <w:bottom w:val="single" w:sz="4" w:space="0" w:color="auto"/>
              <w:right w:val="nil"/>
            </w:tcBorders>
            <w:shd w:val="clear" w:color="auto" w:fill="auto"/>
            <w:vAlign w:val="bottom"/>
            <w:hideMark/>
          </w:tcPr>
          <w:p w14:paraId="496BB8AC"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FA prevent-able /1,000</w:t>
            </w:r>
          </w:p>
        </w:tc>
        <w:tc>
          <w:tcPr>
            <w:tcW w:w="820" w:type="dxa"/>
            <w:tcBorders>
              <w:top w:val="single" w:sz="4" w:space="0" w:color="auto"/>
              <w:left w:val="nil"/>
              <w:bottom w:val="single" w:sz="4" w:space="0" w:color="auto"/>
              <w:right w:val="nil"/>
            </w:tcBorders>
            <w:shd w:val="clear" w:color="auto" w:fill="auto"/>
            <w:vAlign w:val="bottom"/>
            <w:hideMark/>
          </w:tcPr>
          <w:p w14:paraId="44988882"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FA prevent-able</w:t>
            </w:r>
          </w:p>
        </w:tc>
        <w:tc>
          <w:tcPr>
            <w:tcW w:w="960" w:type="dxa"/>
            <w:tcBorders>
              <w:top w:val="single" w:sz="4" w:space="0" w:color="auto"/>
              <w:left w:val="single" w:sz="4" w:space="0" w:color="auto"/>
              <w:bottom w:val="single" w:sz="4" w:space="0" w:color="auto"/>
              <w:right w:val="nil"/>
            </w:tcBorders>
            <w:shd w:val="clear" w:color="auto" w:fill="auto"/>
            <w:vAlign w:val="bottom"/>
            <w:hideMark/>
          </w:tcPr>
          <w:p w14:paraId="2AB9BDE4"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NTD actually prevented /1,000</w:t>
            </w:r>
          </w:p>
        </w:tc>
        <w:tc>
          <w:tcPr>
            <w:tcW w:w="960" w:type="dxa"/>
            <w:tcBorders>
              <w:top w:val="single" w:sz="4" w:space="0" w:color="auto"/>
              <w:left w:val="nil"/>
              <w:bottom w:val="single" w:sz="4" w:space="0" w:color="auto"/>
              <w:right w:val="nil"/>
            </w:tcBorders>
            <w:shd w:val="clear" w:color="auto" w:fill="auto"/>
            <w:vAlign w:val="bottom"/>
            <w:hideMark/>
          </w:tcPr>
          <w:p w14:paraId="32B6A56D"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of NTD actually prevented</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23F51905"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of prevent-able NTD prevented</w:t>
            </w:r>
          </w:p>
        </w:tc>
      </w:tr>
      <w:tr w:rsidR="00751AC1" w:rsidRPr="007C740F" w14:paraId="12E1984D"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4892C1A3"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AFR</w:t>
            </w:r>
          </w:p>
        </w:tc>
        <w:tc>
          <w:tcPr>
            <w:tcW w:w="800" w:type="dxa"/>
            <w:tcBorders>
              <w:top w:val="nil"/>
              <w:left w:val="single" w:sz="4" w:space="0" w:color="auto"/>
              <w:bottom w:val="nil"/>
              <w:right w:val="nil"/>
            </w:tcBorders>
            <w:shd w:val="clear" w:color="auto" w:fill="auto"/>
            <w:noWrap/>
            <w:vAlign w:val="bottom"/>
            <w:hideMark/>
          </w:tcPr>
          <w:p w14:paraId="411B59B7"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1.42</w:t>
            </w:r>
          </w:p>
        </w:tc>
        <w:tc>
          <w:tcPr>
            <w:tcW w:w="780" w:type="dxa"/>
            <w:tcBorders>
              <w:top w:val="nil"/>
              <w:left w:val="nil"/>
              <w:bottom w:val="nil"/>
              <w:right w:val="nil"/>
            </w:tcBorders>
            <w:shd w:val="clear" w:color="auto" w:fill="auto"/>
            <w:noWrap/>
            <w:vAlign w:val="bottom"/>
            <w:hideMark/>
          </w:tcPr>
          <w:p w14:paraId="514D909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0.65</w:t>
            </w:r>
          </w:p>
        </w:tc>
        <w:tc>
          <w:tcPr>
            <w:tcW w:w="820" w:type="dxa"/>
            <w:tcBorders>
              <w:top w:val="nil"/>
              <w:left w:val="nil"/>
              <w:bottom w:val="nil"/>
              <w:right w:val="nil"/>
            </w:tcBorders>
            <w:shd w:val="clear" w:color="auto" w:fill="auto"/>
            <w:noWrap/>
            <w:vAlign w:val="bottom"/>
            <w:hideMark/>
          </w:tcPr>
          <w:p w14:paraId="27B15CF5"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46</w:t>
            </w:r>
          </w:p>
        </w:tc>
        <w:tc>
          <w:tcPr>
            <w:tcW w:w="960" w:type="dxa"/>
            <w:tcBorders>
              <w:top w:val="nil"/>
              <w:left w:val="single" w:sz="4" w:space="0" w:color="auto"/>
              <w:bottom w:val="nil"/>
              <w:right w:val="nil"/>
            </w:tcBorders>
            <w:shd w:val="clear" w:color="auto" w:fill="auto"/>
            <w:noWrap/>
            <w:vAlign w:val="bottom"/>
            <w:hideMark/>
          </w:tcPr>
          <w:p w14:paraId="5A47E3E4"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0.55</w:t>
            </w:r>
          </w:p>
        </w:tc>
        <w:tc>
          <w:tcPr>
            <w:tcW w:w="960" w:type="dxa"/>
            <w:tcBorders>
              <w:top w:val="nil"/>
              <w:left w:val="nil"/>
              <w:bottom w:val="nil"/>
              <w:right w:val="nil"/>
            </w:tcBorders>
            <w:shd w:val="clear" w:color="auto" w:fill="auto"/>
            <w:noWrap/>
            <w:vAlign w:val="bottom"/>
            <w:hideMark/>
          </w:tcPr>
          <w:p w14:paraId="12FE8736"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39</w:t>
            </w:r>
          </w:p>
        </w:tc>
        <w:tc>
          <w:tcPr>
            <w:tcW w:w="1120" w:type="dxa"/>
            <w:tcBorders>
              <w:top w:val="nil"/>
              <w:left w:val="nil"/>
              <w:bottom w:val="nil"/>
              <w:right w:val="single" w:sz="4" w:space="0" w:color="auto"/>
            </w:tcBorders>
            <w:shd w:val="clear" w:color="auto" w:fill="auto"/>
            <w:noWrap/>
            <w:vAlign w:val="bottom"/>
            <w:hideMark/>
          </w:tcPr>
          <w:p w14:paraId="4995CCE0"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84</w:t>
            </w:r>
          </w:p>
        </w:tc>
      </w:tr>
      <w:tr w:rsidR="00751AC1" w:rsidRPr="007C740F" w14:paraId="3E3922E7"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739C7D2A"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AMR</w:t>
            </w:r>
          </w:p>
        </w:tc>
        <w:tc>
          <w:tcPr>
            <w:tcW w:w="800" w:type="dxa"/>
            <w:tcBorders>
              <w:top w:val="nil"/>
              <w:left w:val="single" w:sz="4" w:space="0" w:color="auto"/>
              <w:bottom w:val="nil"/>
              <w:right w:val="nil"/>
            </w:tcBorders>
            <w:shd w:val="clear" w:color="auto" w:fill="auto"/>
            <w:noWrap/>
            <w:vAlign w:val="bottom"/>
            <w:hideMark/>
          </w:tcPr>
          <w:p w14:paraId="557AA121"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1.44</w:t>
            </w:r>
          </w:p>
        </w:tc>
        <w:tc>
          <w:tcPr>
            <w:tcW w:w="780" w:type="dxa"/>
            <w:tcBorders>
              <w:top w:val="nil"/>
              <w:left w:val="nil"/>
              <w:bottom w:val="nil"/>
              <w:right w:val="nil"/>
            </w:tcBorders>
            <w:shd w:val="clear" w:color="auto" w:fill="auto"/>
            <w:noWrap/>
            <w:vAlign w:val="bottom"/>
            <w:hideMark/>
          </w:tcPr>
          <w:p w14:paraId="5C8445F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0.67</w:t>
            </w:r>
          </w:p>
        </w:tc>
        <w:tc>
          <w:tcPr>
            <w:tcW w:w="820" w:type="dxa"/>
            <w:tcBorders>
              <w:top w:val="nil"/>
              <w:left w:val="nil"/>
              <w:bottom w:val="nil"/>
              <w:right w:val="nil"/>
            </w:tcBorders>
            <w:shd w:val="clear" w:color="auto" w:fill="auto"/>
            <w:noWrap/>
            <w:vAlign w:val="bottom"/>
            <w:hideMark/>
          </w:tcPr>
          <w:p w14:paraId="597D839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47</w:t>
            </w:r>
          </w:p>
        </w:tc>
        <w:tc>
          <w:tcPr>
            <w:tcW w:w="960" w:type="dxa"/>
            <w:tcBorders>
              <w:top w:val="nil"/>
              <w:left w:val="single" w:sz="4" w:space="0" w:color="auto"/>
              <w:bottom w:val="nil"/>
              <w:right w:val="nil"/>
            </w:tcBorders>
            <w:shd w:val="clear" w:color="auto" w:fill="auto"/>
            <w:noWrap/>
            <w:vAlign w:val="bottom"/>
            <w:hideMark/>
          </w:tcPr>
          <w:p w14:paraId="3F2E877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0.74</w:t>
            </w:r>
          </w:p>
        </w:tc>
        <w:tc>
          <w:tcPr>
            <w:tcW w:w="960" w:type="dxa"/>
            <w:tcBorders>
              <w:top w:val="nil"/>
              <w:left w:val="nil"/>
              <w:bottom w:val="nil"/>
              <w:right w:val="nil"/>
            </w:tcBorders>
            <w:shd w:val="clear" w:color="auto" w:fill="auto"/>
            <w:noWrap/>
            <w:vAlign w:val="bottom"/>
            <w:hideMark/>
          </w:tcPr>
          <w:p w14:paraId="77106008"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52</w:t>
            </w:r>
          </w:p>
        </w:tc>
        <w:tc>
          <w:tcPr>
            <w:tcW w:w="1120" w:type="dxa"/>
            <w:tcBorders>
              <w:top w:val="nil"/>
              <w:left w:val="nil"/>
              <w:bottom w:val="nil"/>
              <w:right w:val="single" w:sz="4" w:space="0" w:color="auto"/>
            </w:tcBorders>
            <w:shd w:val="clear" w:color="auto" w:fill="auto"/>
            <w:noWrap/>
            <w:vAlign w:val="bottom"/>
            <w:hideMark/>
          </w:tcPr>
          <w:p w14:paraId="4A4117C1"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111</w:t>
            </w:r>
          </w:p>
        </w:tc>
      </w:tr>
      <w:tr w:rsidR="00751AC1" w:rsidRPr="007C740F" w14:paraId="4B4B635C"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30FCBEF4"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EMR</w:t>
            </w:r>
          </w:p>
        </w:tc>
        <w:tc>
          <w:tcPr>
            <w:tcW w:w="800" w:type="dxa"/>
            <w:tcBorders>
              <w:top w:val="nil"/>
              <w:left w:val="single" w:sz="4" w:space="0" w:color="auto"/>
              <w:bottom w:val="nil"/>
              <w:right w:val="nil"/>
            </w:tcBorders>
            <w:shd w:val="clear" w:color="auto" w:fill="auto"/>
            <w:noWrap/>
            <w:vAlign w:val="bottom"/>
            <w:hideMark/>
          </w:tcPr>
          <w:p w14:paraId="6B36519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2.92</w:t>
            </w:r>
          </w:p>
        </w:tc>
        <w:tc>
          <w:tcPr>
            <w:tcW w:w="780" w:type="dxa"/>
            <w:tcBorders>
              <w:top w:val="nil"/>
              <w:left w:val="nil"/>
              <w:bottom w:val="nil"/>
              <w:right w:val="nil"/>
            </w:tcBorders>
            <w:shd w:val="clear" w:color="auto" w:fill="auto"/>
            <w:noWrap/>
            <w:vAlign w:val="bottom"/>
            <w:hideMark/>
          </w:tcPr>
          <w:p w14:paraId="1DE5A5A4"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2.15</w:t>
            </w:r>
          </w:p>
        </w:tc>
        <w:tc>
          <w:tcPr>
            <w:tcW w:w="820" w:type="dxa"/>
            <w:tcBorders>
              <w:top w:val="nil"/>
              <w:left w:val="nil"/>
              <w:bottom w:val="nil"/>
              <w:right w:val="nil"/>
            </w:tcBorders>
            <w:shd w:val="clear" w:color="auto" w:fill="auto"/>
            <w:noWrap/>
            <w:vAlign w:val="bottom"/>
            <w:hideMark/>
          </w:tcPr>
          <w:p w14:paraId="0E1041A6"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74</w:t>
            </w:r>
          </w:p>
        </w:tc>
        <w:tc>
          <w:tcPr>
            <w:tcW w:w="960" w:type="dxa"/>
            <w:tcBorders>
              <w:top w:val="nil"/>
              <w:left w:val="single" w:sz="4" w:space="0" w:color="auto"/>
              <w:bottom w:val="nil"/>
              <w:right w:val="nil"/>
            </w:tcBorders>
            <w:shd w:val="clear" w:color="auto" w:fill="auto"/>
            <w:noWrap/>
            <w:vAlign w:val="bottom"/>
            <w:hideMark/>
          </w:tcPr>
          <w:p w14:paraId="20B33235"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0.53</w:t>
            </w:r>
          </w:p>
        </w:tc>
        <w:tc>
          <w:tcPr>
            <w:tcW w:w="960" w:type="dxa"/>
            <w:tcBorders>
              <w:top w:val="nil"/>
              <w:left w:val="nil"/>
              <w:bottom w:val="nil"/>
              <w:right w:val="nil"/>
            </w:tcBorders>
            <w:shd w:val="clear" w:color="auto" w:fill="auto"/>
            <w:noWrap/>
            <w:vAlign w:val="bottom"/>
            <w:hideMark/>
          </w:tcPr>
          <w:p w14:paraId="1599D7E0"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18</w:t>
            </w:r>
          </w:p>
        </w:tc>
        <w:tc>
          <w:tcPr>
            <w:tcW w:w="1120" w:type="dxa"/>
            <w:tcBorders>
              <w:top w:val="nil"/>
              <w:left w:val="nil"/>
              <w:bottom w:val="nil"/>
              <w:right w:val="single" w:sz="4" w:space="0" w:color="auto"/>
            </w:tcBorders>
            <w:shd w:val="clear" w:color="auto" w:fill="auto"/>
            <w:noWrap/>
            <w:vAlign w:val="bottom"/>
            <w:hideMark/>
          </w:tcPr>
          <w:p w14:paraId="49FB5DD4"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24</w:t>
            </w:r>
          </w:p>
        </w:tc>
      </w:tr>
      <w:tr w:rsidR="00751AC1" w:rsidRPr="007C740F" w14:paraId="52750149"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262F95FE"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EUR</w:t>
            </w:r>
          </w:p>
        </w:tc>
        <w:tc>
          <w:tcPr>
            <w:tcW w:w="800" w:type="dxa"/>
            <w:tcBorders>
              <w:top w:val="nil"/>
              <w:left w:val="single" w:sz="4" w:space="0" w:color="auto"/>
              <w:bottom w:val="nil"/>
              <w:right w:val="nil"/>
            </w:tcBorders>
            <w:shd w:val="clear" w:color="auto" w:fill="auto"/>
            <w:noWrap/>
            <w:vAlign w:val="bottom"/>
            <w:hideMark/>
          </w:tcPr>
          <w:p w14:paraId="0A99F563"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1.48</w:t>
            </w:r>
          </w:p>
        </w:tc>
        <w:tc>
          <w:tcPr>
            <w:tcW w:w="780" w:type="dxa"/>
            <w:tcBorders>
              <w:top w:val="nil"/>
              <w:left w:val="nil"/>
              <w:bottom w:val="nil"/>
              <w:right w:val="nil"/>
            </w:tcBorders>
            <w:shd w:val="clear" w:color="auto" w:fill="auto"/>
            <w:noWrap/>
            <w:vAlign w:val="bottom"/>
            <w:hideMark/>
          </w:tcPr>
          <w:p w14:paraId="4F678EB6"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0.71</w:t>
            </w:r>
          </w:p>
        </w:tc>
        <w:tc>
          <w:tcPr>
            <w:tcW w:w="820" w:type="dxa"/>
            <w:tcBorders>
              <w:top w:val="nil"/>
              <w:left w:val="nil"/>
              <w:bottom w:val="nil"/>
              <w:right w:val="nil"/>
            </w:tcBorders>
            <w:shd w:val="clear" w:color="auto" w:fill="auto"/>
            <w:noWrap/>
            <w:vAlign w:val="bottom"/>
            <w:hideMark/>
          </w:tcPr>
          <w:p w14:paraId="52DABB5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48</w:t>
            </w:r>
          </w:p>
        </w:tc>
        <w:tc>
          <w:tcPr>
            <w:tcW w:w="960" w:type="dxa"/>
            <w:tcBorders>
              <w:top w:val="nil"/>
              <w:left w:val="single" w:sz="4" w:space="0" w:color="auto"/>
              <w:bottom w:val="nil"/>
              <w:right w:val="nil"/>
            </w:tcBorders>
            <w:shd w:val="clear" w:color="auto" w:fill="auto"/>
            <w:noWrap/>
            <w:vAlign w:val="bottom"/>
            <w:hideMark/>
          </w:tcPr>
          <w:p w14:paraId="2C52405E"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0.14</w:t>
            </w:r>
          </w:p>
        </w:tc>
        <w:tc>
          <w:tcPr>
            <w:tcW w:w="960" w:type="dxa"/>
            <w:tcBorders>
              <w:top w:val="nil"/>
              <w:left w:val="nil"/>
              <w:bottom w:val="nil"/>
              <w:right w:val="nil"/>
            </w:tcBorders>
            <w:shd w:val="clear" w:color="auto" w:fill="auto"/>
            <w:noWrap/>
            <w:vAlign w:val="bottom"/>
            <w:hideMark/>
          </w:tcPr>
          <w:p w14:paraId="6A7C135D"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9</w:t>
            </w:r>
          </w:p>
        </w:tc>
        <w:tc>
          <w:tcPr>
            <w:tcW w:w="1120" w:type="dxa"/>
            <w:tcBorders>
              <w:top w:val="nil"/>
              <w:left w:val="nil"/>
              <w:bottom w:val="nil"/>
              <w:right w:val="single" w:sz="4" w:space="0" w:color="auto"/>
            </w:tcBorders>
            <w:shd w:val="clear" w:color="auto" w:fill="auto"/>
            <w:noWrap/>
            <w:vAlign w:val="bottom"/>
            <w:hideMark/>
          </w:tcPr>
          <w:p w14:paraId="34FFBFFC"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20</w:t>
            </w:r>
          </w:p>
        </w:tc>
      </w:tr>
      <w:tr w:rsidR="00751AC1" w:rsidRPr="007C740F" w14:paraId="0E1F932B"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6DBF2615"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SEAR</w:t>
            </w:r>
          </w:p>
        </w:tc>
        <w:tc>
          <w:tcPr>
            <w:tcW w:w="800" w:type="dxa"/>
            <w:tcBorders>
              <w:top w:val="nil"/>
              <w:left w:val="single" w:sz="4" w:space="0" w:color="auto"/>
              <w:bottom w:val="nil"/>
              <w:right w:val="nil"/>
            </w:tcBorders>
            <w:shd w:val="clear" w:color="auto" w:fill="auto"/>
            <w:noWrap/>
            <w:vAlign w:val="bottom"/>
            <w:hideMark/>
          </w:tcPr>
          <w:p w14:paraId="5924E84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3.11</w:t>
            </w:r>
          </w:p>
        </w:tc>
        <w:tc>
          <w:tcPr>
            <w:tcW w:w="780" w:type="dxa"/>
            <w:tcBorders>
              <w:top w:val="nil"/>
              <w:left w:val="nil"/>
              <w:bottom w:val="nil"/>
              <w:right w:val="nil"/>
            </w:tcBorders>
            <w:shd w:val="clear" w:color="auto" w:fill="auto"/>
            <w:noWrap/>
            <w:vAlign w:val="bottom"/>
            <w:hideMark/>
          </w:tcPr>
          <w:p w14:paraId="77F0580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2.34</w:t>
            </w:r>
          </w:p>
        </w:tc>
        <w:tc>
          <w:tcPr>
            <w:tcW w:w="820" w:type="dxa"/>
            <w:tcBorders>
              <w:top w:val="nil"/>
              <w:left w:val="nil"/>
              <w:bottom w:val="nil"/>
              <w:right w:val="nil"/>
            </w:tcBorders>
            <w:shd w:val="clear" w:color="auto" w:fill="auto"/>
            <w:noWrap/>
            <w:vAlign w:val="bottom"/>
            <w:hideMark/>
          </w:tcPr>
          <w:p w14:paraId="5A6E6CD2"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75</w:t>
            </w:r>
          </w:p>
        </w:tc>
        <w:tc>
          <w:tcPr>
            <w:tcW w:w="960" w:type="dxa"/>
            <w:tcBorders>
              <w:top w:val="nil"/>
              <w:left w:val="single" w:sz="4" w:space="0" w:color="auto"/>
              <w:bottom w:val="nil"/>
              <w:right w:val="nil"/>
            </w:tcBorders>
            <w:shd w:val="clear" w:color="auto" w:fill="auto"/>
            <w:noWrap/>
            <w:vAlign w:val="bottom"/>
            <w:hideMark/>
          </w:tcPr>
          <w:p w14:paraId="5951916C"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0.00</w:t>
            </w:r>
          </w:p>
        </w:tc>
        <w:tc>
          <w:tcPr>
            <w:tcW w:w="960" w:type="dxa"/>
            <w:tcBorders>
              <w:top w:val="nil"/>
              <w:left w:val="nil"/>
              <w:bottom w:val="nil"/>
              <w:right w:val="nil"/>
            </w:tcBorders>
            <w:shd w:val="clear" w:color="auto" w:fill="auto"/>
            <w:noWrap/>
            <w:vAlign w:val="bottom"/>
            <w:hideMark/>
          </w:tcPr>
          <w:p w14:paraId="2944D3F9"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w:t>
            </w:r>
          </w:p>
        </w:tc>
        <w:tc>
          <w:tcPr>
            <w:tcW w:w="1120" w:type="dxa"/>
            <w:tcBorders>
              <w:top w:val="nil"/>
              <w:left w:val="nil"/>
              <w:bottom w:val="nil"/>
              <w:right w:val="single" w:sz="4" w:space="0" w:color="auto"/>
            </w:tcBorders>
            <w:shd w:val="clear" w:color="auto" w:fill="auto"/>
            <w:noWrap/>
            <w:vAlign w:val="bottom"/>
            <w:hideMark/>
          </w:tcPr>
          <w:p w14:paraId="5084B4F9"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w:t>
            </w:r>
          </w:p>
        </w:tc>
      </w:tr>
      <w:tr w:rsidR="00751AC1" w:rsidRPr="007C740F" w14:paraId="635AE15F" w14:textId="77777777" w:rsidTr="004669FA">
        <w:trPr>
          <w:trHeight w:val="240"/>
          <w:jc w:val="center"/>
        </w:trPr>
        <w:tc>
          <w:tcPr>
            <w:tcW w:w="960" w:type="dxa"/>
            <w:tcBorders>
              <w:top w:val="nil"/>
              <w:left w:val="single" w:sz="4" w:space="0" w:color="auto"/>
              <w:bottom w:val="nil"/>
              <w:right w:val="nil"/>
            </w:tcBorders>
            <w:shd w:val="clear" w:color="auto" w:fill="auto"/>
            <w:noWrap/>
            <w:vAlign w:val="bottom"/>
            <w:hideMark/>
          </w:tcPr>
          <w:p w14:paraId="6C5DA2DF"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WPR</w:t>
            </w:r>
          </w:p>
        </w:tc>
        <w:tc>
          <w:tcPr>
            <w:tcW w:w="800" w:type="dxa"/>
            <w:tcBorders>
              <w:top w:val="nil"/>
              <w:left w:val="single" w:sz="4" w:space="0" w:color="auto"/>
              <w:bottom w:val="nil"/>
              <w:right w:val="nil"/>
            </w:tcBorders>
            <w:shd w:val="clear" w:color="auto" w:fill="auto"/>
            <w:noWrap/>
            <w:vAlign w:val="bottom"/>
            <w:hideMark/>
          </w:tcPr>
          <w:p w14:paraId="5F3E4570"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2.00</w:t>
            </w:r>
          </w:p>
        </w:tc>
        <w:tc>
          <w:tcPr>
            <w:tcW w:w="780" w:type="dxa"/>
            <w:tcBorders>
              <w:top w:val="nil"/>
              <w:left w:val="nil"/>
              <w:bottom w:val="nil"/>
              <w:right w:val="nil"/>
            </w:tcBorders>
            <w:shd w:val="clear" w:color="auto" w:fill="auto"/>
            <w:noWrap/>
            <w:vAlign w:val="bottom"/>
            <w:hideMark/>
          </w:tcPr>
          <w:p w14:paraId="72FAC069"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1.23</w:t>
            </w:r>
          </w:p>
        </w:tc>
        <w:tc>
          <w:tcPr>
            <w:tcW w:w="820" w:type="dxa"/>
            <w:tcBorders>
              <w:top w:val="nil"/>
              <w:left w:val="nil"/>
              <w:bottom w:val="nil"/>
              <w:right w:val="nil"/>
            </w:tcBorders>
            <w:shd w:val="clear" w:color="auto" w:fill="auto"/>
            <w:noWrap/>
            <w:vAlign w:val="bottom"/>
            <w:hideMark/>
          </w:tcPr>
          <w:p w14:paraId="18B47D79"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61</w:t>
            </w:r>
          </w:p>
        </w:tc>
        <w:tc>
          <w:tcPr>
            <w:tcW w:w="960" w:type="dxa"/>
            <w:tcBorders>
              <w:top w:val="nil"/>
              <w:left w:val="single" w:sz="4" w:space="0" w:color="auto"/>
              <w:bottom w:val="nil"/>
              <w:right w:val="nil"/>
            </w:tcBorders>
            <w:shd w:val="clear" w:color="auto" w:fill="auto"/>
            <w:noWrap/>
            <w:vAlign w:val="bottom"/>
            <w:hideMark/>
          </w:tcPr>
          <w:p w14:paraId="5F3E5236"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0.01</w:t>
            </w:r>
          </w:p>
        </w:tc>
        <w:tc>
          <w:tcPr>
            <w:tcW w:w="960" w:type="dxa"/>
            <w:tcBorders>
              <w:top w:val="nil"/>
              <w:left w:val="nil"/>
              <w:bottom w:val="nil"/>
              <w:right w:val="nil"/>
            </w:tcBorders>
            <w:shd w:val="clear" w:color="auto" w:fill="auto"/>
            <w:noWrap/>
            <w:vAlign w:val="bottom"/>
            <w:hideMark/>
          </w:tcPr>
          <w:p w14:paraId="74E4D7D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w:t>
            </w:r>
          </w:p>
        </w:tc>
        <w:tc>
          <w:tcPr>
            <w:tcW w:w="1120" w:type="dxa"/>
            <w:tcBorders>
              <w:top w:val="nil"/>
              <w:left w:val="nil"/>
              <w:bottom w:val="nil"/>
              <w:right w:val="single" w:sz="4" w:space="0" w:color="auto"/>
            </w:tcBorders>
            <w:shd w:val="clear" w:color="auto" w:fill="auto"/>
            <w:noWrap/>
            <w:vAlign w:val="bottom"/>
            <w:hideMark/>
          </w:tcPr>
          <w:p w14:paraId="0A39B82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w:t>
            </w:r>
          </w:p>
        </w:tc>
      </w:tr>
      <w:tr w:rsidR="00751AC1" w:rsidRPr="007C740F" w14:paraId="0B7F96B1" w14:textId="77777777" w:rsidTr="004669FA">
        <w:trPr>
          <w:trHeight w:val="255"/>
          <w:jc w:val="center"/>
        </w:trPr>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3084E99B"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World</w:t>
            </w:r>
          </w:p>
        </w:tc>
        <w:tc>
          <w:tcPr>
            <w:tcW w:w="800" w:type="dxa"/>
            <w:tcBorders>
              <w:top w:val="single" w:sz="4" w:space="0" w:color="auto"/>
              <w:left w:val="single" w:sz="4" w:space="0" w:color="auto"/>
              <w:bottom w:val="double" w:sz="6" w:space="0" w:color="auto"/>
              <w:right w:val="nil"/>
            </w:tcBorders>
            <w:shd w:val="clear" w:color="auto" w:fill="auto"/>
            <w:noWrap/>
            <w:vAlign w:val="bottom"/>
            <w:hideMark/>
          </w:tcPr>
          <w:p w14:paraId="7602AEF4"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2.14</w:t>
            </w:r>
          </w:p>
        </w:tc>
        <w:tc>
          <w:tcPr>
            <w:tcW w:w="780" w:type="dxa"/>
            <w:tcBorders>
              <w:top w:val="single" w:sz="4" w:space="0" w:color="auto"/>
              <w:left w:val="nil"/>
              <w:bottom w:val="double" w:sz="6" w:space="0" w:color="auto"/>
              <w:right w:val="nil"/>
            </w:tcBorders>
            <w:shd w:val="clear" w:color="auto" w:fill="auto"/>
            <w:noWrap/>
            <w:vAlign w:val="bottom"/>
            <w:hideMark/>
          </w:tcPr>
          <w:p w14:paraId="5FFECA10"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1.37</w:t>
            </w:r>
          </w:p>
        </w:tc>
        <w:tc>
          <w:tcPr>
            <w:tcW w:w="820" w:type="dxa"/>
            <w:tcBorders>
              <w:top w:val="single" w:sz="4" w:space="0" w:color="auto"/>
              <w:left w:val="nil"/>
              <w:bottom w:val="double" w:sz="6" w:space="0" w:color="auto"/>
              <w:right w:val="nil"/>
            </w:tcBorders>
            <w:shd w:val="clear" w:color="auto" w:fill="auto"/>
            <w:noWrap/>
            <w:vAlign w:val="bottom"/>
            <w:hideMark/>
          </w:tcPr>
          <w:p w14:paraId="4C9AB8BB"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64</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66ADAD81"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0.31</w:t>
            </w:r>
          </w:p>
        </w:tc>
        <w:tc>
          <w:tcPr>
            <w:tcW w:w="960" w:type="dxa"/>
            <w:tcBorders>
              <w:top w:val="single" w:sz="4" w:space="0" w:color="auto"/>
              <w:left w:val="nil"/>
              <w:bottom w:val="double" w:sz="6" w:space="0" w:color="auto"/>
              <w:right w:val="nil"/>
            </w:tcBorders>
            <w:shd w:val="clear" w:color="auto" w:fill="auto"/>
            <w:noWrap/>
            <w:vAlign w:val="bottom"/>
            <w:hideMark/>
          </w:tcPr>
          <w:p w14:paraId="2FE62A52"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2BF25A51"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w:t>
            </w:r>
          </w:p>
        </w:tc>
      </w:tr>
      <w:tr w:rsidR="00751AC1" w:rsidRPr="007C740F" w14:paraId="58D6F080" w14:textId="77777777" w:rsidTr="004669FA">
        <w:trPr>
          <w:trHeight w:val="255"/>
          <w:jc w:val="center"/>
        </w:trPr>
        <w:tc>
          <w:tcPr>
            <w:tcW w:w="960" w:type="dxa"/>
            <w:tcBorders>
              <w:top w:val="nil"/>
              <w:left w:val="single" w:sz="4" w:space="0" w:color="auto"/>
              <w:bottom w:val="single" w:sz="4" w:space="0" w:color="auto"/>
              <w:right w:val="nil"/>
            </w:tcBorders>
            <w:shd w:val="clear" w:color="auto" w:fill="auto"/>
            <w:noWrap/>
            <w:vAlign w:val="bottom"/>
            <w:hideMark/>
          </w:tcPr>
          <w:p w14:paraId="38C4BFCB" w14:textId="77777777" w:rsidR="00751AC1" w:rsidRPr="007C740F" w:rsidRDefault="00751AC1" w:rsidP="00AF587F">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 Europe</w:t>
            </w:r>
          </w:p>
        </w:tc>
        <w:tc>
          <w:tcPr>
            <w:tcW w:w="800" w:type="dxa"/>
            <w:tcBorders>
              <w:top w:val="nil"/>
              <w:left w:val="single" w:sz="4" w:space="0" w:color="auto"/>
              <w:bottom w:val="single" w:sz="4" w:space="0" w:color="auto"/>
              <w:right w:val="nil"/>
            </w:tcBorders>
            <w:shd w:val="clear" w:color="auto" w:fill="auto"/>
            <w:noWrap/>
            <w:vAlign w:val="bottom"/>
            <w:hideMark/>
          </w:tcPr>
          <w:p w14:paraId="6EFEB120"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0.89</w:t>
            </w:r>
          </w:p>
        </w:tc>
        <w:tc>
          <w:tcPr>
            <w:tcW w:w="780" w:type="dxa"/>
            <w:tcBorders>
              <w:top w:val="nil"/>
              <w:left w:val="nil"/>
              <w:bottom w:val="single" w:sz="4" w:space="0" w:color="auto"/>
              <w:right w:val="nil"/>
            </w:tcBorders>
            <w:shd w:val="clear" w:color="auto" w:fill="auto"/>
            <w:noWrap/>
            <w:vAlign w:val="bottom"/>
            <w:hideMark/>
          </w:tcPr>
          <w:p w14:paraId="3BDE056C"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0.12</w:t>
            </w:r>
          </w:p>
        </w:tc>
        <w:tc>
          <w:tcPr>
            <w:tcW w:w="820" w:type="dxa"/>
            <w:tcBorders>
              <w:top w:val="nil"/>
              <w:left w:val="nil"/>
              <w:bottom w:val="single" w:sz="4" w:space="0" w:color="auto"/>
              <w:right w:val="nil"/>
            </w:tcBorders>
            <w:shd w:val="clear" w:color="auto" w:fill="auto"/>
            <w:noWrap/>
            <w:vAlign w:val="bottom"/>
            <w:hideMark/>
          </w:tcPr>
          <w:p w14:paraId="4F82D02F"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w:t>
            </w:r>
          </w:p>
        </w:tc>
        <w:tc>
          <w:tcPr>
            <w:tcW w:w="960" w:type="dxa"/>
            <w:tcBorders>
              <w:top w:val="nil"/>
              <w:left w:val="single" w:sz="4" w:space="0" w:color="auto"/>
              <w:bottom w:val="single" w:sz="4" w:space="0" w:color="auto"/>
              <w:right w:val="nil"/>
            </w:tcBorders>
            <w:shd w:val="clear" w:color="auto" w:fill="auto"/>
            <w:noWrap/>
            <w:vAlign w:val="bottom"/>
            <w:hideMark/>
          </w:tcPr>
          <w:p w14:paraId="68796DA5"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0.000</w:t>
            </w:r>
          </w:p>
        </w:tc>
        <w:tc>
          <w:tcPr>
            <w:tcW w:w="960" w:type="dxa"/>
            <w:tcBorders>
              <w:top w:val="nil"/>
              <w:left w:val="nil"/>
              <w:bottom w:val="single" w:sz="4" w:space="0" w:color="auto"/>
              <w:right w:val="nil"/>
            </w:tcBorders>
            <w:shd w:val="clear" w:color="auto" w:fill="auto"/>
            <w:noWrap/>
            <w:vAlign w:val="bottom"/>
            <w:hideMark/>
          </w:tcPr>
          <w:p w14:paraId="1570333A"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w:t>
            </w:r>
          </w:p>
        </w:tc>
        <w:tc>
          <w:tcPr>
            <w:tcW w:w="1120" w:type="dxa"/>
            <w:tcBorders>
              <w:top w:val="nil"/>
              <w:left w:val="nil"/>
              <w:bottom w:val="single" w:sz="4" w:space="0" w:color="auto"/>
              <w:right w:val="single" w:sz="4" w:space="0" w:color="auto"/>
            </w:tcBorders>
            <w:shd w:val="clear" w:color="auto" w:fill="auto"/>
            <w:noWrap/>
            <w:vAlign w:val="bottom"/>
            <w:hideMark/>
          </w:tcPr>
          <w:p w14:paraId="0C69FB36" w14:textId="77777777" w:rsidR="00751AC1" w:rsidRPr="007C740F" w:rsidRDefault="00751AC1" w:rsidP="00AF587F">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w:t>
            </w:r>
          </w:p>
        </w:tc>
      </w:tr>
    </w:tbl>
    <w:p w14:paraId="5558C390" w14:textId="630647F8" w:rsidR="00751AC1" w:rsidRPr="007C740F" w:rsidRDefault="00751AC1" w:rsidP="00AF587F">
      <w:pPr>
        <w:pStyle w:val="BodyText1"/>
        <w:keepNext/>
        <w:spacing w:after="0"/>
        <w:ind w:left="357"/>
        <w:rPr>
          <w:sz w:val="20"/>
          <w:szCs w:val="20"/>
        </w:rPr>
      </w:pPr>
      <w:r w:rsidRPr="007C740F">
        <w:rPr>
          <w:i/>
          <w:sz w:val="20"/>
          <w:szCs w:val="20"/>
        </w:rPr>
        <w:t>Notes</w:t>
      </w:r>
      <w:r w:rsidRPr="007C740F">
        <w:rPr>
          <w:sz w:val="20"/>
          <w:szCs w:val="20"/>
        </w:rPr>
        <w:t xml:space="preserve">. </w:t>
      </w:r>
      <w:r w:rsidR="00CA77CD" w:rsidRPr="007C740F">
        <w:rPr>
          <w:sz w:val="20"/>
          <w:szCs w:val="20"/>
        </w:rPr>
        <w:t xml:space="preserve">Folic acid food fortification </w:t>
      </w:r>
      <w:r w:rsidR="00CA48A8" w:rsidRPr="007C740F">
        <w:rPr>
          <w:sz w:val="20"/>
          <w:szCs w:val="20"/>
        </w:rPr>
        <w:t>was/</w:t>
      </w:r>
      <w:r w:rsidR="00CA77CD" w:rsidRPr="007C740F">
        <w:rPr>
          <w:sz w:val="20"/>
          <w:szCs w:val="20"/>
        </w:rPr>
        <w:t>is not implemented in most of Western Europe.</w:t>
      </w:r>
      <w:r w:rsidR="007E6E04" w:rsidRPr="007C740F">
        <w:rPr>
          <w:sz w:val="20"/>
          <w:szCs w:val="20"/>
        </w:rPr>
        <w:br/>
        <w:t>The</w:t>
      </w:r>
      <w:r w:rsidR="003D4377" w:rsidRPr="007C740F">
        <w:rPr>
          <w:sz w:val="20"/>
          <w:szCs w:val="20"/>
        </w:rPr>
        <w:t xml:space="preserve"> </w:t>
      </w:r>
      <w:r w:rsidR="007E6E04" w:rsidRPr="007C740F">
        <w:rPr>
          <w:sz w:val="20"/>
          <w:szCs w:val="20"/>
        </w:rPr>
        <w:t xml:space="preserve"> </w:t>
      </w:r>
      <w:r w:rsidR="001F6D1C" w:rsidRPr="007C740F">
        <w:rPr>
          <w:sz w:val="20"/>
          <w:szCs w:val="20"/>
        </w:rPr>
        <w:t>&gt;</w:t>
      </w:r>
      <w:r w:rsidR="007E6E04" w:rsidRPr="007C740F">
        <w:rPr>
          <w:sz w:val="20"/>
          <w:szCs w:val="20"/>
        </w:rPr>
        <w:t>100% estimate for prevention in AMR demonstrates the approximate nature of the calculation</w:t>
      </w:r>
      <w:r w:rsidR="00C77ECD" w:rsidRPr="007C740F">
        <w:t>.</w:t>
      </w:r>
    </w:p>
    <w:p w14:paraId="41A14194" w14:textId="77777777" w:rsidR="00A62A93" w:rsidRPr="007C740F" w:rsidRDefault="00A62A93" w:rsidP="00CE1D01">
      <w:pPr>
        <w:pStyle w:val="Heading2"/>
      </w:pPr>
      <w:bookmarkStart w:id="24" w:name="_Toc193659675"/>
      <w:r w:rsidRPr="007C740F">
        <w:t>Anti-D for rhesus negative mothers</w:t>
      </w:r>
      <w:bookmarkEnd w:id="24"/>
    </w:p>
    <w:p w14:paraId="625DA3DB" w14:textId="05F71E52" w:rsidR="00A62A93" w:rsidRPr="007C740F" w:rsidRDefault="00AD2999" w:rsidP="001E505A">
      <w:pPr>
        <w:pStyle w:val="BodyText1"/>
        <w:spacing w:before="240"/>
        <w:jc w:val="both"/>
      </w:pPr>
      <w:r w:rsidRPr="007C740F">
        <w:t xml:space="preserve">Table </w:t>
      </w:r>
      <w:r w:rsidR="008B0B70" w:rsidRPr="007C740F">
        <w:t>7</w:t>
      </w:r>
      <w:r w:rsidR="00D203D5" w:rsidRPr="007C740F">
        <w:t xml:space="preserve"> shows </w:t>
      </w:r>
      <w:r w:rsidR="008E31D1" w:rsidRPr="007C740F">
        <w:t xml:space="preserve">the distribution of rhesus genotypes and </w:t>
      </w:r>
      <w:r w:rsidR="00D203D5" w:rsidRPr="007C740F">
        <w:t>estimate</w:t>
      </w:r>
      <w:r w:rsidR="008E31D1" w:rsidRPr="007C740F">
        <w:t>d</w:t>
      </w:r>
      <w:r w:rsidR="00D203D5" w:rsidRPr="007C740F">
        <w:t xml:space="preserve"> baseline birth prevalen</w:t>
      </w:r>
      <w:r w:rsidRPr="007C740F">
        <w:t xml:space="preserve">ce of rhesus haemolytic disease </w:t>
      </w:r>
      <w:r w:rsidR="00D203D5" w:rsidRPr="007C740F">
        <w:t>by WHO region</w:t>
      </w:r>
      <w:r w:rsidR="0056657E" w:rsidRPr="007C740F">
        <w:t xml:space="preserve">. Though rhesus negativity is </w:t>
      </w:r>
      <w:r w:rsidR="009E5931" w:rsidRPr="007C740F">
        <w:t xml:space="preserve">most </w:t>
      </w:r>
      <w:r w:rsidR="0056657E" w:rsidRPr="007C740F">
        <w:t xml:space="preserve">common in EUR and AMR, the table shows that the baseline birth prevalence of rhesus haemolytic disease may now be higher in EMR and AFR </w:t>
      </w:r>
      <w:r w:rsidR="00A020EC" w:rsidRPr="007C740F">
        <w:t xml:space="preserve">where </w:t>
      </w:r>
      <w:r w:rsidR="0056657E" w:rsidRPr="007C740F">
        <w:t xml:space="preserve">fertility is relatively high </w:t>
      </w:r>
      <w:r w:rsidR="00A020EC" w:rsidRPr="007C740F">
        <w:t xml:space="preserve">because </w:t>
      </w:r>
      <w:r w:rsidR="00EB6774" w:rsidRPr="007C740F">
        <w:t xml:space="preserve">the </w:t>
      </w:r>
      <w:r w:rsidR="0056657E" w:rsidRPr="007C740F">
        <w:t xml:space="preserve">risk </w:t>
      </w:r>
      <w:r w:rsidR="00EB6774" w:rsidRPr="007C740F">
        <w:t xml:space="preserve">of rhesus haemolytic disease </w:t>
      </w:r>
      <w:r w:rsidR="0056657E" w:rsidRPr="007C740F">
        <w:t>increases with pregnancy number</w:t>
      </w:r>
      <w:r w:rsidR="00D645D6" w:rsidRPr="007C740F">
        <w:t xml:space="preserve"> (</w:t>
      </w:r>
      <w:r w:rsidR="00273C2B" w:rsidRPr="007C740F">
        <w:t>Mourant et al 1976,</w:t>
      </w:r>
      <w:r w:rsidR="00D645D6" w:rsidRPr="007C740F">
        <w:t xml:space="preserve">   Bhutani et al. 2013)</w:t>
      </w:r>
      <w:r w:rsidR="0056657E" w:rsidRPr="007C740F">
        <w:t xml:space="preserve">. </w:t>
      </w:r>
    </w:p>
    <w:p w14:paraId="3D63E146" w14:textId="28D1B14D" w:rsidR="008E31D1" w:rsidRPr="007C740F" w:rsidRDefault="00AE416A" w:rsidP="002267E5">
      <w:pPr>
        <w:pStyle w:val="Tableheader"/>
      </w:pPr>
      <w:r w:rsidRPr="007C740F">
        <w:t xml:space="preserve">Table </w:t>
      </w:r>
      <w:r w:rsidR="008B0B70" w:rsidRPr="007C740F">
        <w:t>7</w:t>
      </w:r>
      <w:r w:rsidR="004836E3" w:rsidRPr="007C740F">
        <w:t>. Proportion of the population with the three rhesus genotypes, and estimated baseline birth prevalence of rhesus haemolytic disease</w:t>
      </w:r>
      <w:r w:rsidR="002267E5" w:rsidRPr="007C740F">
        <w:t>.</w:t>
      </w:r>
      <w:r w:rsidR="00BD2D5E" w:rsidRPr="007C740F">
        <w:t xml:space="preserve"> </w:t>
      </w:r>
    </w:p>
    <w:tbl>
      <w:tblPr>
        <w:tblW w:w="7797" w:type="dxa"/>
        <w:jc w:val="center"/>
        <w:tblLook w:val="04A0" w:firstRow="1" w:lastRow="0" w:firstColumn="1" w:lastColumn="0" w:noHBand="0" w:noVBand="1"/>
      </w:tblPr>
      <w:tblGrid>
        <w:gridCol w:w="993"/>
        <w:gridCol w:w="992"/>
        <w:gridCol w:w="1134"/>
        <w:gridCol w:w="1129"/>
        <w:gridCol w:w="997"/>
        <w:gridCol w:w="1276"/>
        <w:gridCol w:w="1276"/>
      </w:tblGrid>
      <w:tr w:rsidR="001D38FE" w:rsidRPr="007C740F" w14:paraId="166D89D7" w14:textId="77777777" w:rsidTr="002267E5">
        <w:trPr>
          <w:trHeight w:val="255"/>
          <w:jc w:val="center"/>
        </w:trPr>
        <w:tc>
          <w:tcPr>
            <w:tcW w:w="993" w:type="dxa"/>
            <w:tcBorders>
              <w:top w:val="single" w:sz="4" w:space="0" w:color="auto"/>
              <w:left w:val="single" w:sz="4" w:space="0" w:color="auto"/>
              <w:right w:val="single" w:sz="4" w:space="0" w:color="auto"/>
            </w:tcBorders>
            <w:shd w:val="clear" w:color="auto" w:fill="auto"/>
            <w:vAlign w:val="center"/>
          </w:tcPr>
          <w:p w14:paraId="3BC616AB" w14:textId="77777777" w:rsidR="001D38FE" w:rsidRPr="007C740F" w:rsidRDefault="001D38FE" w:rsidP="002267E5">
            <w:pPr>
              <w:keepNext/>
              <w:spacing w:after="0" w:line="240" w:lineRule="auto"/>
              <w:jc w:val="center"/>
              <w:rPr>
                <w:rFonts w:eastAsia="Times New Roman" w:cs="Arial"/>
                <w:sz w:val="16"/>
                <w:szCs w:val="16"/>
                <w:lang w:eastAsia="en-GB"/>
              </w:rPr>
            </w:pP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60689A"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 of the population</w:t>
            </w:r>
          </w:p>
        </w:tc>
        <w:tc>
          <w:tcPr>
            <w:tcW w:w="997" w:type="dxa"/>
            <w:vMerge w:val="restart"/>
            <w:tcBorders>
              <w:top w:val="single" w:sz="4" w:space="0" w:color="auto"/>
              <w:left w:val="single" w:sz="4" w:space="0" w:color="auto"/>
              <w:right w:val="single" w:sz="4" w:space="0" w:color="auto"/>
            </w:tcBorders>
            <w:vAlign w:val="center"/>
          </w:tcPr>
          <w:p w14:paraId="4299A48D" w14:textId="08A9FB10" w:rsidR="001D38FE" w:rsidRPr="007C740F" w:rsidRDefault="001D38FE" w:rsidP="002267E5">
            <w:pPr>
              <w:keepNext/>
              <w:spacing w:after="0"/>
              <w:jc w:val="center"/>
              <w:rPr>
                <w:rFonts w:eastAsia="Times New Roman" w:cs="Arial"/>
                <w:sz w:val="16"/>
                <w:szCs w:val="16"/>
                <w:lang w:eastAsia="en-GB"/>
              </w:rPr>
            </w:pPr>
            <w:r w:rsidRPr="007C740F">
              <w:rPr>
                <w:rFonts w:cs="Arial"/>
                <w:sz w:val="16"/>
                <w:szCs w:val="16"/>
              </w:rPr>
              <w:t>Total fertility rate, 201</w:t>
            </w:r>
            <w:r w:rsidR="00273C2B" w:rsidRPr="007C740F">
              <w:rPr>
                <w:rFonts w:cs="Arial"/>
                <w:sz w:val="16"/>
                <w:szCs w:val="16"/>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A8F70" w14:textId="7C114E6E"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Rh haemolytic disease If no intervention</w:t>
            </w:r>
            <w:r w:rsidR="0056657E" w:rsidRPr="007C740F">
              <w:rPr>
                <w:rFonts w:eastAsia="Times New Roman" w:cs="Arial"/>
                <w:sz w:val="16"/>
                <w:szCs w:val="16"/>
                <w:lang w:eastAsia="en-GB"/>
              </w:rPr>
              <w:t xml:space="preserve"> (201</w:t>
            </w:r>
            <w:r w:rsidR="00273C2B" w:rsidRPr="007C740F">
              <w:rPr>
                <w:rFonts w:eastAsia="Times New Roman" w:cs="Arial"/>
                <w:sz w:val="16"/>
                <w:szCs w:val="16"/>
                <w:lang w:eastAsia="en-GB"/>
              </w:rPr>
              <w:t>3</w:t>
            </w:r>
            <w:r w:rsidR="0056657E" w:rsidRPr="007C740F">
              <w:rPr>
                <w:rFonts w:eastAsia="Times New Roman" w:cs="Arial"/>
                <w:sz w:val="16"/>
                <w:szCs w:val="16"/>
                <w:lang w:eastAsia="en-GB"/>
              </w:rPr>
              <w:t>)</w:t>
            </w:r>
          </w:p>
        </w:tc>
      </w:tr>
      <w:tr w:rsidR="001D38FE" w:rsidRPr="007C740F" w14:paraId="74ED948D" w14:textId="77777777" w:rsidTr="002267E5">
        <w:trPr>
          <w:trHeight w:val="255"/>
          <w:jc w:val="center"/>
        </w:trPr>
        <w:tc>
          <w:tcPr>
            <w:tcW w:w="993" w:type="dxa"/>
            <w:tcBorders>
              <w:left w:val="single" w:sz="4" w:space="0" w:color="auto"/>
              <w:bottom w:val="single" w:sz="4" w:space="0" w:color="auto"/>
              <w:right w:val="single" w:sz="4" w:space="0" w:color="auto"/>
            </w:tcBorders>
            <w:shd w:val="clear" w:color="auto" w:fill="auto"/>
            <w:vAlign w:val="center"/>
            <w:hideMark/>
          </w:tcPr>
          <w:p w14:paraId="034DC1E5"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WHO  region</w:t>
            </w:r>
          </w:p>
        </w:tc>
        <w:tc>
          <w:tcPr>
            <w:tcW w:w="992" w:type="dxa"/>
            <w:tcBorders>
              <w:top w:val="nil"/>
              <w:left w:val="single" w:sz="4" w:space="0" w:color="auto"/>
              <w:bottom w:val="single" w:sz="4" w:space="0" w:color="auto"/>
              <w:right w:val="nil"/>
            </w:tcBorders>
            <w:shd w:val="clear" w:color="auto" w:fill="auto"/>
            <w:vAlign w:val="center"/>
            <w:hideMark/>
          </w:tcPr>
          <w:p w14:paraId="591417ED"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Rhesus negative  (dd)</w:t>
            </w:r>
          </w:p>
        </w:tc>
        <w:tc>
          <w:tcPr>
            <w:tcW w:w="1134" w:type="dxa"/>
            <w:tcBorders>
              <w:top w:val="nil"/>
              <w:left w:val="nil"/>
              <w:bottom w:val="single" w:sz="4" w:space="0" w:color="auto"/>
              <w:right w:val="nil"/>
            </w:tcBorders>
            <w:shd w:val="clear" w:color="auto" w:fill="auto"/>
            <w:vAlign w:val="center"/>
            <w:hideMark/>
          </w:tcPr>
          <w:p w14:paraId="72E6BF9B"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Heterozygous rhesus positive (dD)</w:t>
            </w:r>
          </w:p>
        </w:tc>
        <w:tc>
          <w:tcPr>
            <w:tcW w:w="1129" w:type="dxa"/>
            <w:tcBorders>
              <w:top w:val="nil"/>
              <w:left w:val="nil"/>
              <w:bottom w:val="single" w:sz="4" w:space="0" w:color="auto"/>
              <w:right w:val="single" w:sz="4" w:space="0" w:color="auto"/>
            </w:tcBorders>
            <w:shd w:val="clear" w:color="auto" w:fill="auto"/>
            <w:vAlign w:val="center"/>
            <w:hideMark/>
          </w:tcPr>
          <w:p w14:paraId="19518C5B"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Homozygous rhesus positive (DD)</w:t>
            </w:r>
          </w:p>
        </w:tc>
        <w:tc>
          <w:tcPr>
            <w:tcW w:w="997" w:type="dxa"/>
            <w:vMerge/>
            <w:tcBorders>
              <w:left w:val="single" w:sz="4" w:space="0" w:color="auto"/>
              <w:bottom w:val="single" w:sz="4" w:space="0" w:color="auto"/>
              <w:right w:val="single" w:sz="4" w:space="0" w:color="auto"/>
            </w:tcBorders>
            <w:vAlign w:val="center"/>
          </w:tcPr>
          <w:p w14:paraId="68823A06" w14:textId="77777777" w:rsidR="001D38FE" w:rsidRPr="007C740F" w:rsidRDefault="001D38FE" w:rsidP="002267E5">
            <w:pPr>
              <w:keepNext/>
              <w:spacing w:after="0"/>
              <w:jc w:val="center"/>
              <w:rPr>
                <w:rFonts w:cs="Arial"/>
                <w:sz w:val="16"/>
                <w:szCs w:val="16"/>
              </w:rPr>
            </w:pP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66F8F682"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Est. fetuses with sensitised mother /1,000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15BC81"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Est. rhesus haemolytic disease /1,000</w:t>
            </w:r>
          </w:p>
        </w:tc>
      </w:tr>
      <w:tr w:rsidR="001D38FE" w:rsidRPr="007C740F" w14:paraId="1BC74009" w14:textId="77777777" w:rsidTr="002267E5">
        <w:trPr>
          <w:trHeight w:val="255"/>
          <w:jc w:val="center"/>
        </w:trPr>
        <w:tc>
          <w:tcPr>
            <w:tcW w:w="993" w:type="dxa"/>
            <w:tcBorders>
              <w:top w:val="single" w:sz="4" w:space="0" w:color="auto"/>
              <w:left w:val="single" w:sz="4" w:space="0" w:color="auto"/>
              <w:bottom w:val="nil"/>
              <w:right w:val="nil"/>
            </w:tcBorders>
            <w:shd w:val="clear" w:color="auto" w:fill="auto"/>
            <w:noWrap/>
            <w:vAlign w:val="center"/>
            <w:hideMark/>
          </w:tcPr>
          <w:p w14:paraId="5968D072"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AFR</w:t>
            </w:r>
          </w:p>
        </w:tc>
        <w:tc>
          <w:tcPr>
            <w:tcW w:w="992" w:type="dxa"/>
            <w:tcBorders>
              <w:top w:val="single" w:sz="4" w:space="0" w:color="auto"/>
              <w:left w:val="single" w:sz="4" w:space="0" w:color="auto"/>
              <w:bottom w:val="nil"/>
              <w:right w:val="nil"/>
            </w:tcBorders>
            <w:shd w:val="clear" w:color="auto" w:fill="auto"/>
            <w:noWrap/>
            <w:vAlign w:val="center"/>
            <w:hideMark/>
          </w:tcPr>
          <w:p w14:paraId="25117C8F"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w:t>
            </w:r>
          </w:p>
        </w:tc>
        <w:tc>
          <w:tcPr>
            <w:tcW w:w="1134" w:type="dxa"/>
            <w:tcBorders>
              <w:top w:val="single" w:sz="4" w:space="0" w:color="auto"/>
              <w:left w:val="nil"/>
              <w:bottom w:val="nil"/>
              <w:right w:val="nil"/>
            </w:tcBorders>
            <w:shd w:val="clear" w:color="auto" w:fill="auto"/>
            <w:noWrap/>
            <w:vAlign w:val="center"/>
            <w:hideMark/>
          </w:tcPr>
          <w:p w14:paraId="2AE436F1"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31</w:t>
            </w:r>
          </w:p>
        </w:tc>
        <w:tc>
          <w:tcPr>
            <w:tcW w:w="1129" w:type="dxa"/>
            <w:tcBorders>
              <w:top w:val="single" w:sz="4" w:space="0" w:color="auto"/>
              <w:left w:val="nil"/>
              <w:bottom w:val="nil"/>
              <w:right w:val="single" w:sz="4" w:space="0" w:color="auto"/>
            </w:tcBorders>
            <w:shd w:val="clear" w:color="auto" w:fill="auto"/>
            <w:noWrap/>
            <w:vAlign w:val="center"/>
            <w:hideMark/>
          </w:tcPr>
          <w:p w14:paraId="101C8FD9"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64</w:t>
            </w:r>
          </w:p>
        </w:tc>
        <w:tc>
          <w:tcPr>
            <w:tcW w:w="997" w:type="dxa"/>
            <w:tcBorders>
              <w:top w:val="single" w:sz="4" w:space="0" w:color="auto"/>
              <w:left w:val="single" w:sz="4" w:space="0" w:color="auto"/>
              <w:bottom w:val="nil"/>
              <w:right w:val="single" w:sz="4" w:space="0" w:color="auto"/>
            </w:tcBorders>
            <w:vAlign w:val="center"/>
          </w:tcPr>
          <w:p w14:paraId="32C73892" w14:textId="77777777" w:rsidR="001D38FE" w:rsidRPr="007C740F" w:rsidRDefault="001D38FE" w:rsidP="002267E5">
            <w:pPr>
              <w:keepNext/>
              <w:spacing w:after="0"/>
              <w:jc w:val="center"/>
              <w:rPr>
                <w:rFonts w:cs="Arial"/>
                <w:sz w:val="16"/>
                <w:szCs w:val="16"/>
              </w:rPr>
            </w:pPr>
            <w:r w:rsidRPr="007C740F">
              <w:rPr>
                <w:rFonts w:cs="Arial"/>
                <w:sz w:val="16"/>
                <w:szCs w:val="16"/>
              </w:rPr>
              <w:t>5.23</w:t>
            </w:r>
          </w:p>
        </w:tc>
        <w:tc>
          <w:tcPr>
            <w:tcW w:w="1276" w:type="dxa"/>
            <w:tcBorders>
              <w:top w:val="single" w:sz="4" w:space="0" w:color="auto"/>
              <w:left w:val="single" w:sz="4" w:space="0" w:color="auto"/>
              <w:bottom w:val="nil"/>
              <w:right w:val="nil"/>
            </w:tcBorders>
            <w:shd w:val="clear" w:color="auto" w:fill="auto"/>
            <w:noWrap/>
            <w:vAlign w:val="center"/>
            <w:hideMark/>
          </w:tcPr>
          <w:p w14:paraId="1FD2107C" w14:textId="77777777" w:rsidR="001D38FE" w:rsidRPr="007C740F" w:rsidRDefault="001D38FE" w:rsidP="002267E5">
            <w:pPr>
              <w:keepNext/>
              <w:spacing w:after="0"/>
              <w:jc w:val="center"/>
              <w:rPr>
                <w:rFonts w:cs="Arial"/>
                <w:sz w:val="16"/>
                <w:szCs w:val="16"/>
              </w:rPr>
            </w:pPr>
            <w:r w:rsidRPr="007C740F">
              <w:rPr>
                <w:rFonts w:cs="Arial"/>
                <w:sz w:val="16"/>
                <w:szCs w:val="16"/>
              </w:rPr>
              <w:t>6.7</w:t>
            </w:r>
          </w:p>
        </w:tc>
        <w:tc>
          <w:tcPr>
            <w:tcW w:w="1276" w:type="dxa"/>
            <w:tcBorders>
              <w:top w:val="single" w:sz="4" w:space="0" w:color="auto"/>
              <w:left w:val="nil"/>
              <w:bottom w:val="nil"/>
              <w:right w:val="single" w:sz="4" w:space="0" w:color="auto"/>
            </w:tcBorders>
            <w:shd w:val="clear" w:color="auto" w:fill="auto"/>
            <w:noWrap/>
            <w:vAlign w:val="center"/>
            <w:hideMark/>
          </w:tcPr>
          <w:p w14:paraId="58CF178C" w14:textId="77777777" w:rsidR="001D38FE" w:rsidRPr="007C740F" w:rsidRDefault="001D38FE" w:rsidP="002267E5">
            <w:pPr>
              <w:keepNext/>
              <w:spacing w:after="0"/>
              <w:jc w:val="center"/>
              <w:rPr>
                <w:rFonts w:cs="Arial"/>
                <w:sz w:val="16"/>
                <w:szCs w:val="16"/>
              </w:rPr>
            </w:pPr>
            <w:r w:rsidRPr="007C740F">
              <w:rPr>
                <w:rFonts w:cs="Arial"/>
                <w:sz w:val="16"/>
                <w:szCs w:val="16"/>
              </w:rPr>
              <w:t>3.0</w:t>
            </w:r>
          </w:p>
        </w:tc>
      </w:tr>
      <w:tr w:rsidR="001D38FE" w:rsidRPr="007C740F" w14:paraId="3656786F" w14:textId="77777777" w:rsidTr="002267E5">
        <w:trPr>
          <w:trHeight w:val="255"/>
          <w:jc w:val="center"/>
        </w:trPr>
        <w:tc>
          <w:tcPr>
            <w:tcW w:w="993" w:type="dxa"/>
            <w:tcBorders>
              <w:top w:val="nil"/>
              <w:left w:val="single" w:sz="4" w:space="0" w:color="auto"/>
              <w:bottom w:val="nil"/>
              <w:right w:val="nil"/>
            </w:tcBorders>
            <w:shd w:val="clear" w:color="auto" w:fill="auto"/>
            <w:noWrap/>
            <w:vAlign w:val="center"/>
            <w:hideMark/>
          </w:tcPr>
          <w:p w14:paraId="45F05B82"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AMR</w:t>
            </w:r>
          </w:p>
        </w:tc>
        <w:tc>
          <w:tcPr>
            <w:tcW w:w="992" w:type="dxa"/>
            <w:tcBorders>
              <w:top w:val="nil"/>
              <w:left w:val="single" w:sz="4" w:space="0" w:color="auto"/>
              <w:bottom w:val="nil"/>
              <w:right w:val="nil"/>
            </w:tcBorders>
            <w:shd w:val="clear" w:color="auto" w:fill="auto"/>
            <w:noWrap/>
            <w:vAlign w:val="center"/>
            <w:hideMark/>
          </w:tcPr>
          <w:p w14:paraId="30F35395"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12</w:t>
            </w:r>
          </w:p>
        </w:tc>
        <w:tc>
          <w:tcPr>
            <w:tcW w:w="1134" w:type="dxa"/>
            <w:tcBorders>
              <w:top w:val="nil"/>
              <w:left w:val="nil"/>
              <w:bottom w:val="nil"/>
              <w:right w:val="nil"/>
            </w:tcBorders>
            <w:shd w:val="clear" w:color="auto" w:fill="auto"/>
            <w:noWrap/>
            <w:vAlign w:val="center"/>
            <w:hideMark/>
          </w:tcPr>
          <w:p w14:paraId="01DA4E4E"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44</w:t>
            </w:r>
          </w:p>
        </w:tc>
        <w:tc>
          <w:tcPr>
            <w:tcW w:w="1129" w:type="dxa"/>
            <w:tcBorders>
              <w:top w:val="nil"/>
              <w:left w:val="nil"/>
              <w:bottom w:val="nil"/>
              <w:right w:val="single" w:sz="4" w:space="0" w:color="auto"/>
            </w:tcBorders>
            <w:shd w:val="clear" w:color="auto" w:fill="auto"/>
            <w:noWrap/>
            <w:vAlign w:val="center"/>
            <w:hideMark/>
          </w:tcPr>
          <w:p w14:paraId="2EFAAB47"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44</w:t>
            </w:r>
          </w:p>
        </w:tc>
        <w:tc>
          <w:tcPr>
            <w:tcW w:w="997" w:type="dxa"/>
            <w:tcBorders>
              <w:top w:val="nil"/>
              <w:left w:val="single" w:sz="4" w:space="0" w:color="auto"/>
              <w:bottom w:val="nil"/>
              <w:right w:val="single" w:sz="4" w:space="0" w:color="auto"/>
            </w:tcBorders>
            <w:vAlign w:val="center"/>
          </w:tcPr>
          <w:p w14:paraId="61898B53" w14:textId="77777777" w:rsidR="001D38FE" w:rsidRPr="007C740F" w:rsidRDefault="001D38FE" w:rsidP="002267E5">
            <w:pPr>
              <w:keepNext/>
              <w:spacing w:after="0"/>
              <w:jc w:val="center"/>
              <w:rPr>
                <w:rFonts w:cs="Arial"/>
                <w:sz w:val="16"/>
                <w:szCs w:val="16"/>
              </w:rPr>
            </w:pPr>
            <w:r w:rsidRPr="007C740F">
              <w:rPr>
                <w:rFonts w:cs="Arial"/>
                <w:sz w:val="16"/>
                <w:szCs w:val="16"/>
              </w:rPr>
              <w:t>2.12</w:t>
            </w:r>
          </w:p>
        </w:tc>
        <w:tc>
          <w:tcPr>
            <w:tcW w:w="1276" w:type="dxa"/>
            <w:tcBorders>
              <w:top w:val="nil"/>
              <w:left w:val="single" w:sz="4" w:space="0" w:color="auto"/>
              <w:bottom w:val="nil"/>
              <w:right w:val="nil"/>
            </w:tcBorders>
            <w:shd w:val="clear" w:color="auto" w:fill="auto"/>
            <w:noWrap/>
            <w:vAlign w:val="center"/>
            <w:hideMark/>
          </w:tcPr>
          <w:p w14:paraId="74B2D966" w14:textId="77777777" w:rsidR="001D38FE" w:rsidRPr="007C740F" w:rsidRDefault="001D38FE" w:rsidP="002267E5">
            <w:pPr>
              <w:keepNext/>
              <w:spacing w:after="0"/>
              <w:jc w:val="center"/>
              <w:rPr>
                <w:rFonts w:cs="Arial"/>
                <w:sz w:val="16"/>
                <w:szCs w:val="16"/>
              </w:rPr>
            </w:pPr>
            <w:r w:rsidRPr="007C740F">
              <w:rPr>
                <w:rFonts w:cs="Arial"/>
                <w:sz w:val="16"/>
                <w:szCs w:val="16"/>
              </w:rPr>
              <w:t>6.3</w:t>
            </w:r>
          </w:p>
        </w:tc>
        <w:tc>
          <w:tcPr>
            <w:tcW w:w="1276" w:type="dxa"/>
            <w:tcBorders>
              <w:top w:val="nil"/>
              <w:left w:val="nil"/>
              <w:bottom w:val="nil"/>
              <w:right w:val="single" w:sz="4" w:space="0" w:color="auto"/>
            </w:tcBorders>
            <w:shd w:val="clear" w:color="auto" w:fill="auto"/>
            <w:noWrap/>
            <w:vAlign w:val="center"/>
            <w:hideMark/>
          </w:tcPr>
          <w:p w14:paraId="0C4B0DA0" w14:textId="77777777" w:rsidR="001D38FE" w:rsidRPr="007C740F" w:rsidRDefault="001D38FE" w:rsidP="002267E5">
            <w:pPr>
              <w:keepNext/>
              <w:spacing w:after="0"/>
              <w:jc w:val="center"/>
              <w:rPr>
                <w:rFonts w:cs="Arial"/>
                <w:sz w:val="16"/>
                <w:szCs w:val="16"/>
              </w:rPr>
            </w:pPr>
            <w:r w:rsidRPr="007C740F">
              <w:rPr>
                <w:rFonts w:cs="Arial"/>
                <w:sz w:val="16"/>
                <w:szCs w:val="16"/>
              </w:rPr>
              <w:t>2.9</w:t>
            </w:r>
          </w:p>
        </w:tc>
      </w:tr>
      <w:tr w:rsidR="001D38FE" w:rsidRPr="007C740F" w14:paraId="78DADF28" w14:textId="77777777" w:rsidTr="002267E5">
        <w:trPr>
          <w:trHeight w:val="255"/>
          <w:jc w:val="center"/>
        </w:trPr>
        <w:tc>
          <w:tcPr>
            <w:tcW w:w="993" w:type="dxa"/>
            <w:tcBorders>
              <w:top w:val="nil"/>
              <w:left w:val="single" w:sz="4" w:space="0" w:color="auto"/>
              <w:bottom w:val="nil"/>
              <w:right w:val="nil"/>
            </w:tcBorders>
            <w:shd w:val="clear" w:color="auto" w:fill="auto"/>
            <w:noWrap/>
            <w:vAlign w:val="center"/>
            <w:hideMark/>
          </w:tcPr>
          <w:p w14:paraId="2E5714D7"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EMR</w:t>
            </w:r>
          </w:p>
        </w:tc>
        <w:tc>
          <w:tcPr>
            <w:tcW w:w="992" w:type="dxa"/>
            <w:tcBorders>
              <w:top w:val="nil"/>
              <w:left w:val="single" w:sz="4" w:space="0" w:color="auto"/>
              <w:bottom w:val="nil"/>
              <w:right w:val="nil"/>
            </w:tcBorders>
            <w:shd w:val="clear" w:color="auto" w:fill="auto"/>
            <w:noWrap/>
            <w:vAlign w:val="center"/>
            <w:hideMark/>
          </w:tcPr>
          <w:p w14:paraId="5DC73FC4"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9</w:t>
            </w:r>
          </w:p>
        </w:tc>
        <w:tc>
          <w:tcPr>
            <w:tcW w:w="1134" w:type="dxa"/>
            <w:tcBorders>
              <w:top w:val="nil"/>
              <w:left w:val="nil"/>
              <w:bottom w:val="nil"/>
              <w:right w:val="nil"/>
            </w:tcBorders>
            <w:shd w:val="clear" w:color="auto" w:fill="auto"/>
            <w:noWrap/>
            <w:vAlign w:val="center"/>
            <w:hideMark/>
          </w:tcPr>
          <w:p w14:paraId="3FE61CDE"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40</w:t>
            </w:r>
          </w:p>
        </w:tc>
        <w:tc>
          <w:tcPr>
            <w:tcW w:w="1129" w:type="dxa"/>
            <w:tcBorders>
              <w:top w:val="nil"/>
              <w:left w:val="nil"/>
              <w:bottom w:val="nil"/>
              <w:right w:val="single" w:sz="4" w:space="0" w:color="auto"/>
            </w:tcBorders>
            <w:shd w:val="clear" w:color="auto" w:fill="auto"/>
            <w:noWrap/>
            <w:vAlign w:val="center"/>
            <w:hideMark/>
          </w:tcPr>
          <w:p w14:paraId="79EE423E"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51</w:t>
            </w:r>
          </w:p>
        </w:tc>
        <w:tc>
          <w:tcPr>
            <w:tcW w:w="997" w:type="dxa"/>
            <w:tcBorders>
              <w:top w:val="nil"/>
              <w:left w:val="single" w:sz="4" w:space="0" w:color="auto"/>
              <w:bottom w:val="nil"/>
              <w:right w:val="single" w:sz="4" w:space="0" w:color="auto"/>
            </w:tcBorders>
            <w:vAlign w:val="center"/>
          </w:tcPr>
          <w:p w14:paraId="44703D4F" w14:textId="77777777" w:rsidR="001D38FE" w:rsidRPr="007C740F" w:rsidRDefault="001D38FE" w:rsidP="002267E5">
            <w:pPr>
              <w:keepNext/>
              <w:spacing w:after="0"/>
              <w:jc w:val="center"/>
              <w:rPr>
                <w:rFonts w:cs="Arial"/>
                <w:sz w:val="16"/>
                <w:szCs w:val="16"/>
              </w:rPr>
            </w:pPr>
            <w:r w:rsidRPr="007C740F">
              <w:rPr>
                <w:rFonts w:cs="Arial"/>
                <w:sz w:val="16"/>
                <w:szCs w:val="16"/>
              </w:rPr>
              <w:t>3.66</w:t>
            </w:r>
          </w:p>
        </w:tc>
        <w:tc>
          <w:tcPr>
            <w:tcW w:w="1276" w:type="dxa"/>
            <w:tcBorders>
              <w:top w:val="nil"/>
              <w:left w:val="single" w:sz="4" w:space="0" w:color="auto"/>
              <w:bottom w:val="nil"/>
              <w:right w:val="nil"/>
            </w:tcBorders>
            <w:shd w:val="clear" w:color="auto" w:fill="auto"/>
            <w:noWrap/>
            <w:vAlign w:val="center"/>
            <w:hideMark/>
          </w:tcPr>
          <w:p w14:paraId="20ECD20C" w14:textId="77777777" w:rsidR="001D38FE" w:rsidRPr="007C740F" w:rsidRDefault="001D38FE" w:rsidP="002267E5">
            <w:pPr>
              <w:keepNext/>
              <w:spacing w:after="0"/>
              <w:jc w:val="center"/>
              <w:rPr>
                <w:rFonts w:cs="Arial"/>
                <w:sz w:val="16"/>
                <w:szCs w:val="16"/>
              </w:rPr>
            </w:pPr>
            <w:r w:rsidRPr="007C740F">
              <w:rPr>
                <w:rFonts w:cs="Arial"/>
                <w:sz w:val="16"/>
                <w:szCs w:val="16"/>
              </w:rPr>
              <w:t>8.5</w:t>
            </w:r>
          </w:p>
        </w:tc>
        <w:tc>
          <w:tcPr>
            <w:tcW w:w="1276" w:type="dxa"/>
            <w:tcBorders>
              <w:top w:val="nil"/>
              <w:left w:val="nil"/>
              <w:bottom w:val="nil"/>
              <w:right w:val="single" w:sz="4" w:space="0" w:color="auto"/>
            </w:tcBorders>
            <w:shd w:val="clear" w:color="auto" w:fill="auto"/>
            <w:noWrap/>
            <w:vAlign w:val="center"/>
            <w:hideMark/>
          </w:tcPr>
          <w:p w14:paraId="3842E1BD" w14:textId="77777777" w:rsidR="001D38FE" w:rsidRPr="007C740F" w:rsidRDefault="001D38FE" w:rsidP="002267E5">
            <w:pPr>
              <w:keepNext/>
              <w:spacing w:after="0"/>
              <w:jc w:val="center"/>
              <w:rPr>
                <w:rFonts w:cs="Arial"/>
                <w:sz w:val="16"/>
                <w:szCs w:val="16"/>
              </w:rPr>
            </w:pPr>
            <w:r w:rsidRPr="007C740F">
              <w:rPr>
                <w:rFonts w:cs="Arial"/>
                <w:sz w:val="16"/>
                <w:szCs w:val="16"/>
              </w:rPr>
              <w:t>3.8</w:t>
            </w:r>
          </w:p>
        </w:tc>
      </w:tr>
      <w:tr w:rsidR="001D38FE" w:rsidRPr="007C740F" w14:paraId="788E00BA" w14:textId="77777777" w:rsidTr="002267E5">
        <w:trPr>
          <w:trHeight w:val="255"/>
          <w:jc w:val="center"/>
        </w:trPr>
        <w:tc>
          <w:tcPr>
            <w:tcW w:w="993" w:type="dxa"/>
            <w:tcBorders>
              <w:top w:val="nil"/>
              <w:left w:val="single" w:sz="4" w:space="0" w:color="auto"/>
              <w:bottom w:val="nil"/>
              <w:right w:val="nil"/>
            </w:tcBorders>
            <w:shd w:val="clear" w:color="auto" w:fill="auto"/>
            <w:noWrap/>
            <w:vAlign w:val="center"/>
            <w:hideMark/>
          </w:tcPr>
          <w:p w14:paraId="7FAFF704"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EUR</w:t>
            </w:r>
          </w:p>
        </w:tc>
        <w:tc>
          <w:tcPr>
            <w:tcW w:w="992" w:type="dxa"/>
            <w:tcBorders>
              <w:top w:val="nil"/>
              <w:left w:val="single" w:sz="4" w:space="0" w:color="auto"/>
              <w:bottom w:val="nil"/>
              <w:right w:val="nil"/>
            </w:tcBorders>
            <w:shd w:val="clear" w:color="auto" w:fill="auto"/>
            <w:noWrap/>
            <w:vAlign w:val="center"/>
            <w:hideMark/>
          </w:tcPr>
          <w:p w14:paraId="1CA44D77"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14</w:t>
            </w:r>
          </w:p>
        </w:tc>
        <w:tc>
          <w:tcPr>
            <w:tcW w:w="1134" w:type="dxa"/>
            <w:tcBorders>
              <w:top w:val="nil"/>
              <w:left w:val="nil"/>
              <w:bottom w:val="nil"/>
              <w:right w:val="nil"/>
            </w:tcBorders>
            <w:shd w:val="clear" w:color="auto" w:fill="auto"/>
            <w:noWrap/>
            <w:vAlign w:val="center"/>
            <w:hideMark/>
          </w:tcPr>
          <w:p w14:paraId="663C8F31"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46</w:t>
            </w:r>
          </w:p>
        </w:tc>
        <w:tc>
          <w:tcPr>
            <w:tcW w:w="1129" w:type="dxa"/>
            <w:tcBorders>
              <w:top w:val="nil"/>
              <w:left w:val="nil"/>
              <w:bottom w:val="nil"/>
              <w:right w:val="single" w:sz="4" w:space="0" w:color="auto"/>
            </w:tcBorders>
            <w:shd w:val="clear" w:color="auto" w:fill="auto"/>
            <w:noWrap/>
            <w:vAlign w:val="center"/>
            <w:hideMark/>
          </w:tcPr>
          <w:p w14:paraId="3C4E3726"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40</w:t>
            </w:r>
          </w:p>
        </w:tc>
        <w:tc>
          <w:tcPr>
            <w:tcW w:w="997" w:type="dxa"/>
            <w:tcBorders>
              <w:top w:val="nil"/>
              <w:left w:val="single" w:sz="4" w:space="0" w:color="auto"/>
              <w:bottom w:val="nil"/>
              <w:right w:val="single" w:sz="4" w:space="0" w:color="auto"/>
            </w:tcBorders>
            <w:vAlign w:val="center"/>
          </w:tcPr>
          <w:p w14:paraId="1FA6794F" w14:textId="77777777" w:rsidR="001D38FE" w:rsidRPr="007C740F" w:rsidRDefault="001D38FE" w:rsidP="002267E5">
            <w:pPr>
              <w:keepNext/>
              <w:spacing w:after="0"/>
              <w:jc w:val="center"/>
              <w:rPr>
                <w:rFonts w:cs="Arial"/>
                <w:sz w:val="16"/>
                <w:szCs w:val="16"/>
              </w:rPr>
            </w:pPr>
            <w:r w:rsidRPr="007C740F">
              <w:rPr>
                <w:rFonts w:cs="Arial"/>
                <w:sz w:val="16"/>
                <w:szCs w:val="16"/>
              </w:rPr>
              <w:t>1.86</w:t>
            </w:r>
          </w:p>
        </w:tc>
        <w:tc>
          <w:tcPr>
            <w:tcW w:w="1276" w:type="dxa"/>
            <w:tcBorders>
              <w:top w:val="nil"/>
              <w:left w:val="single" w:sz="4" w:space="0" w:color="auto"/>
              <w:bottom w:val="nil"/>
              <w:right w:val="nil"/>
            </w:tcBorders>
            <w:shd w:val="clear" w:color="auto" w:fill="auto"/>
            <w:noWrap/>
            <w:vAlign w:val="center"/>
            <w:hideMark/>
          </w:tcPr>
          <w:p w14:paraId="508890A2" w14:textId="77777777" w:rsidR="001D38FE" w:rsidRPr="007C740F" w:rsidRDefault="001D38FE" w:rsidP="002267E5">
            <w:pPr>
              <w:keepNext/>
              <w:spacing w:after="0"/>
              <w:jc w:val="center"/>
              <w:rPr>
                <w:rFonts w:cs="Arial"/>
                <w:sz w:val="16"/>
                <w:szCs w:val="16"/>
              </w:rPr>
            </w:pPr>
            <w:r w:rsidRPr="007C740F">
              <w:rPr>
                <w:rFonts w:cs="Arial"/>
                <w:sz w:val="16"/>
                <w:szCs w:val="16"/>
              </w:rPr>
              <w:t>6.2</w:t>
            </w:r>
          </w:p>
        </w:tc>
        <w:tc>
          <w:tcPr>
            <w:tcW w:w="1276" w:type="dxa"/>
            <w:tcBorders>
              <w:top w:val="nil"/>
              <w:left w:val="nil"/>
              <w:bottom w:val="nil"/>
              <w:right w:val="single" w:sz="4" w:space="0" w:color="auto"/>
            </w:tcBorders>
            <w:shd w:val="clear" w:color="auto" w:fill="auto"/>
            <w:noWrap/>
            <w:vAlign w:val="center"/>
            <w:hideMark/>
          </w:tcPr>
          <w:p w14:paraId="222174E4" w14:textId="77777777" w:rsidR="001D38FE" w:rsidRPr="007C740F" w:rsidRDefault="001D38FE" w:rsidP="002267E5">
            <w:pPr>
              <w:keepNext/>
              <w:spacing w:after="0"/>
              <w:jc w:val="center"/>
              <w:rPr>
                <w:rFonts w:cs="Arial"/>
                <w:sz w:val="16"/>
                <w:szCs w:val="16"/>
              </w:rPr>
            </w:pPr>
            <w:r w:rsidRPr="007C740F">
              <w:rPr>
                <w:rFonts w:cs="Arial"/>
                <w:sz w:val="16"/>
                <w:szCs w:val="16"/>
              </w:rPr>
              <w:t>2.8</w:t>
            </w:r>
          </w:p>
        </w:tc>
      </w:tr>
      <w:tr w:rsidR="001D38FE" w:rsidRPr="007C740F" w14:paraId="144630CA" w14:textId="77777777" w:rsidTr="002267E5">
        <w:trPr>
          <w:trHeight w:val="255"/>
          <w:jc w:val="center"/>
        </w:trPr>
        <w:tc>
          <w:tcPr>
            <w:tcW w:w="993" w:type="dxa"/>
            <w:tcBorders>
              <w:top w:val="nil"/>
              <w:left w:val="single" w:sz="4" w:space="0" w:color="auto"/>
              <w:bottom w:val="nil"/>
              <w:right w:val="nil"/>
            </w:tcBorders>
            <w:shd w:val="clear" w:color="auto" w:fill="auto"/>
            <w:noWrap/>
            <w:vAlign w:val="center"/>
            <w:hideMark/>
          </w:tcPr>
          <w:p w14:paraId="7ABEDEB8"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SEAR</w:t>
            </w:r>
          </w:p>
        </w:tc>
        <w:tc>
          <w:tcPr>
            <w:tcW w:w="992" w:type="dxa"/>
            <w:tcBorders>
              <w:top w:val="nil"/>
              <w:left w:val="single" w:sz="4" w:space="0" w:color="auto"/>
              <w:bottom w:val="nil"/>
              <w:right w:val="nil"/>
            </w:tcBorders>
            <w:shd w:val="clear" w:color="auto" w:fill="auto"/>
            <w:noWrap/>
            <w:vAlign w:val="center"/>
            <w:hideMark/>
          </w:tcPr>
          <w:p w14:paraId="0773427E"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4</w:t>
            </w:r>
          </w:p>
        </w:tc>
        <w:tc>
          <w:tcPr>
            <w:tcW w:w="1134" w:type="dxa"/>
            <w:tcBorders>
              <w:top w:val="nil"/>
              <w:left w:val="nil"/>
              <w:bottom w:val="nil"/>
              <w:right w:val="nil"/>
            </w:tcBorders>
            <w:shd w:val="clear" w:color="auto" w:fill="auto"/>
            <w:noWrap/>
            <w:vAlign w:val="center"/>
            <w:hideMark/>
          </w:tcPr>
          <w:p w14:paraId="6BCA82CF"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30</w:t>
            </w:r>
          </w:p>
        </w:tc>
        <w:tc>
          <w:tcPr>
            <w:tcW w:w="1129" w:type="dxa"/>
            <w:tcBorders>
              <w:top w:val="nil"/>
              <w:left w:val="nil"/>
              <w:bottom w:val="nil"/>
              <w:right w:val="single" w:sz="4" w:space="0" w:color="auto"/>
            </w:tcBorders>
            <w:shd w:val="clear" w:color="auto" w:fill="auto"/>
            <w:noWrap/>
            <w:vAlign w:val="center"/>
            <w:hideMark/>
          </w:tcPr>
          <w:p w14:paraId="53093164"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66</w:t>
            </w:r>
          </w:p>
        </w:tc>
        <w:tc>
          <w:tcPr>
            <w:tcW w:w="997" w:type="dxa"/>
            <w:tcBorders>
              <w:top w:val="nil"/>
              <w:left w:val="single" w:sz="4" w:space="0" w:color="auto"/>
              <w:bottom w:val="nil"/>
              <w:right w:val="single" w:sz="4" w:space="0" w:color="auto"/>
            </w:tcBorders>
            <w:vAlign w:val="center"/>
          </w:tcPr>
          <w:p w14:paraId="22B89C47" w14:textId="77777777" w:rsidR="001D38FE" w:rsidRPr="007C740F" w:rsidRDefault="001D38FE" w:rsidP="002267E5">
            <w:pPr>
              <w:keepNext/>
              <w:spacing w:after="0"/>
              <w:jc w:val="center"/>
              <w:rPr>
                <w:rFonts w:cs="Arial"/>
                <w:sz w:val="16"/>
                <w:szCs w:val="16"/>
              </w:rPr>
            </w:pPr>
            <w:r w:rsidRPr="007C740F">
              <w:rPr>
                <w:rFonts w:cs="Arial"/>
                <w:sz w:val="16"/>
                <w:szCs w:val="16"/>
              </w:rPr>
              <w:t>2.43</w:t>
            </w:r>
          </w:p>
        </w:tc>
        <w:tc>
          <w:tcPr>
            <w:tcW w:w="1276" w:type="dxa"/>
            <w:tcBorders>
              <w:top w:val="nil"/>
              <w:left w:val="single" w:sz="4" w:space="0" w:color="auto"/>
              <w:bottom w:val="nil"/>
              <w:right w:val="nil"/>
            </w:tcBorders>
            <w:shd w:val="clear" w:color="auto" w:fill="auto"/>
            <w:noWrap/>
            <w:vAlign w:val="center"/>
            <w:hideMark/>
          </w:tcPr>
          <w:p w14:paraId="1F500631" w14:textId="77777777" w:rsidR="001D38FE" w:rsidRPr="007C740F" w:rsidRDefault="001D38FE" w:rsidP="002267E5">
            <w:pPr>
              <w:keepNext/>
              <w:spacing w:after="0"/>
              <w:jc w:val="center"/>
              <w:rPr>
                <w:rFonts w:cs="Arial"/>
                <w:sz w:val="16"/>
                <w:szCs w:val="16"/>
              </w:rPr>
            </w:pPr>
            <w:r w:rsidRPr="007C740F">
              <w:rPr>
                <w:rFonts w:cs="Arial"/>
                <w:sz w:val="16"/>
                <w:szCs w:val="16"/>
              </w:rPr>
              <w:t>3.2</w:t>
            </w:r>
          </w:p>
        </w:tc>
        <w:tc>
          <w:tcPr>
            <w:tcW w:w="1276" w:type="dxa"/>
            <w:tcBorders>
              <w:top w:val="nil"/>
              <w:left w:val="nil"/>
              <w:bottom w:val="nil"/>
              <w:right w:val="single" w:sz="4" w:space="0" w:color="auto"/>
            </w:tcBorders>
            <w:shd w:val="clear" w:color="auto" w:fill="auto"/>
            <w:noWrap/>
            <w:vAlign w:val="center"/>
            <w:hideMark/>
          </w:tcPr>
          <w:p w14:paraId="5C0A5AB1" w14:textId="77777777" w:rsidR="001D38FE" w:rsidRPr="007C740F" w:rsidRDefault="001D38FE" w:rsidP="002267E5">
            <w:pPr>
              <w:keepNext/>
              <w:spacing w:after="0"/>
              <w:jc w:val="center"/>
              <w:rPr>
                <w:rFonts w:cs="Arial"/>
                <w:sz w:val="16"/>
                <w:szCs w:val="16"/>
              </w:rPr>
            </w:pPr>
            <w:r w:rsidRPr="007C740F">
              <w:rPr>
                <w:rFonts w:cs="Arial"/>
                <w:sz w:val="16"/>
                <w:szCs w:val="16"/>
              </w:rPr>
              <w:t>1.4</w:t>
            </w:r>
          </w:p>
        </w:tc>
      </w:tr>
      <w:tr w:rsidR="001D38FE" w:rsidRPr="007C740F" w14:paraId="6459B060" w14:textId="77777777" w:rsidTr="002267E5">
        <w:trPr>
          <w:trHeight w:val="255"/>
          <w:jc w:val="center"/>
        </w:trPr>
        <w:tc>
          <w:tcPr>
            <w:tcW w:w="993" w:type="dxa"/>
            <w:tcBorders>
              <w:top w:val="nil"/>
              <w:left w:val="single" w:sz="4" w:space="0" w:color="auto"/>
              <w:bottom w:val="nil"/>
              <w:right w:val="nil"/>
            </w:tcBorders>
            <w:shd w:val="clear" w:color="auto" w:fill="auto"/>
            <w:noWrap/>
            <w:vAlign w:val="center"/>
            <w:hideMark/>
          </w:tcPr>
          <w:p w14:paraId="63CA6BDB"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WPR</w:t>
            </w:r>
          </w:p>
        </w:tc>
        <w:tc>
          <w:tcPr>
            <w:tcW w:w="992" w:type="dxa"/>
            <w:tcBorders>
              <w:top w:val="nil"/>
              <w:left w:val="single" w:sz="4" w:space="0" w:color="auto"/>
              <w:bottom w:val="nil"/>
              <w:right w:val="nil"/>
            </w:tcBorders>
            <w:shd w:val="clear" w:color="auto" w:fill="auto"/>
            <w:noWrap/>
            <w:vAlign w:val="center"/>
            <w:hideMark/>
          </w:tcPr>
          <w:p w14:paraId="67988C6B"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1</w:t>
            </w:r>
          </w:p>
        </w:tc>
        <w:tc>
          <w:tcPr>
            <w:tcW w:w="1134" w:type="dxa"/>
            <w:tcBorders>
              <w:top w:val="nil"/>
              <w:left w:val="nil"/>
              <w:bottom w:val="nil"/>
              <w:right w:val="nil"/>
            </w:tcBorders>
            <w:shd w:val="clear" w:color="auto" w:fill="auto"/>
            <w:noWrap/>
            <w:vAlign w:val="center"/>
            <w:hideMark/>
          </w:tcPr>
          <w:p w14:paraId="624FD93C"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13</w:t>
            </w:r>
          </w:p>
        </w:tc>
        <w:tc>
          <w:tcPr>
            <w:tcW w:w="1129" w:type="dxa"/>
            <w:tcBorders>
              <w:top w:val="nil"/>
              <w:left w:val="nil"/>
              <w:bottom w:val="nil"/>
              <w:right w:val="single" w:sz="4" w:space="0" w:color="auto"/>
            </w:tcBorders>
            <w:shd w:val="clear" w:color="auto" w:fill="auto"/>
            <w:noWrap/>
            <w:vAlign w:val="center"/>
            <w:hideMark/>
          </w:tcPr>
          <w:p w14:paraId="2C4DB002"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86</w:t>
            </w:r>
          </w:p>
        </w:tc>
        <w:tc>
          <w:tcPr>
            <w:tcW w:w="997" w:type="dxa"/>
            <w:tcBorders>
              <w:top w:val="nil"/>
              <w:left w:val="single" w:sz="4" w:space="0" w:color="auto"/>
              <w:bottom w:val="nil"/>
              <w:right w:val="single" w:sz="4" w:space="0" w:color="auto"/>
            </w:tcBorders>
            <w:vAlign w:val="center"/>
          </w:tcPr>
          <w:p w14:paraId="3B661511" w14:textId="77777777" w:rsidR="001D38FE" w:rsidRPr="007C740F" w:rsidRDefault="001D38FE" w:rsidP="002267E5">
            <w:pPr>
              <w:keepNext/>
              <w:spacing w:after="0"/>
              <w:jc w:val="center"/>
              <w:rPr>
                <w:rFonts w:cs="Arial"/>
                <w:sz w:val="16"/>
                <w:szCs w:val="16"/>
              </w:rPr>
            </w:pPr>
            <w:r w:rsidRPr="007C740F">
              <w:rPr>
                <w:rFonts w:cs="Arial"/>
                <w:sz w:val="16"/>
                <w:szCs w:val="16"/>
              </w:rPr>
              <w:t>1.77</w:t>
            </w:r>
          </w:p>
        </w:tc>
        <w:tc>
          <w:tcPr>
            <w:tcW w:w="1276" w:type="dxa"/>
            <w:tcBorders>
              <w:top w:val="nil"/>
              <w:left w:val="single" w:sz="4" w:space="0" w:color="auto"/>
              <w:bottom w:val="nil"/>
              <w:right w:val="nil"/>
            </w:tcBorders>
            <w:shd w:val="clear" w:color="auto" w:fill="auto"/>
            <w:noWrap/>
            <w:vAlign w:val="center"/>
            <w:hideMark/>
          </w:tcPr>
          <w:p w14:paraId="56430CEF" w14:textId="77777777" w:rsidR="001D38FE" w:rsidRPr="007C740F" w:rsidRDefault="001D38FE" w:rsidP="002267E5">
            <w:pPr>
              <w:keepNext/>
              <w:spacing w:after="0"/>
              <w:jc w:val="center"/>
              <w:rPr>
                <w:rFonts w:cs="Arial"/>
                <w:sz w:val="16"/>
                <w:szCs w:val="16"/>
              </w:rPr>
            </w:pPr>
            <w:r w:rsidRPr="007C740F">
              <w:rPr>
                <w:rFonts w:cs="Arial"/>
                <w:sz w:val="16"/>
                <w:szCs w:val="16"/>
              </w:rPr>
              <w:t>0.5</w:t>
            </w:r>
          </w:p>
        </w:tc>
        <w:tc>
          <w:tcPr>
            <w:tcW w:w="1276" w:type="dxa"/>
            <w:tcBorders>
              <w:top w:val="nil"/>
              <w:left w:val="nil"/>
              <w:bottom w:val="nil"/>
              <w:right w:val="single" w:sz="4" w:space="0" w:color="auto"/>
            </w:tcBorders>
            <w:shd w:val="clear" w:color="auto" w:fill="auto"/>
            <w:noWrap/>
            <w:vAlign w:val="center"/>
            <w:hideMark/>
          </w:tcPr>
          <w:p w14:paraId="65540BE8" w14:textId="77777777" w:rsidR="001D38FE" w:rsidRPr="007C740F" w:rsidRDefault="001D38FE" w:rsidP="002267E5">
            <w:pPr>
              <w:keepNext/>
              <w:spacing w:after="0"/>
              <w:jc w:val="center"/>
              <w:rPr>
                <w:rFonts w:cs="Arial"/>
                <w:sz w:val="16"/>
                <w:szCs w:val="16"/>
              </w:rPr>
            </w:pPr>
            <w:r w:rsidRPr="007C740F">
              <w:rPr>
                <w:rFonts w:cs="Arial"/>
                <w:sz w:val="16"/>
                <w:szCs w:val="16"/>
              </w:rPr>
              <w:t>0.2</w:t>
            </w:r>
          </w:p>
        </w:tc>
      </w:tr>
      <w:tr w:rsidR="001D38FE" w:rsidRPr="007C740F" w14:paraId="7D082EB3" w14:textId="77777777" w:rsidTr="002267E5">
        <w:trPr>
          <w:trHeight w:val="255"/>
          <w:jc w:val="center"/>
        </w:trPr>
        <w:tc>
          <w:tcPr>
            <w:tcW w:w="993" w:type="dxa"/>
            <w:tcBorders>
              <w:top w:val="single" w:sz="4" w:space="0" w:color="auto"/>
              <w:left w:val="single" w:sz="4" w:space="0" w:color="auto"/>
              <w:bottom w:val="double" w:sz="6" w:space="0" w:color="auto"/>
              <w:right w:val="nil"/>
            </w:tcBorders>
            <w:shd w:val="clear" w:color="auto" w:fill="auto"/>
            <w:noWrap/>
            <w:vAlign w:val="center"/>
            <w:hideMark/>
          </w:tcPr>
          <w:p w14:paraId="5FD03EB2" w14:textId="77777777" w:rsidR="001D38FE" w:rsidRPr="007C740F" w:rsidRDefault="001D38FE" w:rsidP="002267E5">
            <w:pPr>
              <w:keepNext/>
              <w:spacing w:after="0" w:line="240" w:lineRule="auto"/>
              <w:rPr>
                <w:rFonts w:eastAsia="Times New Roman" w:cs="Arial"/>
                <w:sz w:val="16"/>
                <w:szCs w:val="16"/>
                <w:lang w:eastAsia="en-GB"/>
              </w:rPr>
            </w:pPr>
            <w:r w:rsidRPr="007C740F">
              <w:rPr>
                <w:rFonts w:eastAsia="Times New Roman" w:cs="Arial"/>
                <w:sz w:val="16"/>
                <w:szCs w:val="16"/>
                <w:lang w:eastAsia="en-GB"/>
              </w:rPr>
              <w:t>World</w:t>
            </w:r>
          </w:p>
        </w:tc>
        <w:tc>
          <w:tcPr>
            <w:tcW w:w="992" w:type="dxa"/>
            <w:tcBorders>
              <w:top w:val="single" w:sz="4" w:space="0" w:color="auto"/>
              <w:left w:val="single" w:sz="4" w:space="0" w:color="auto"/>
              <w:bottom w:val="double" w:sz="6" w:space="0" w:color="auto"/>
              <w:right w:val="nil"/>
            </w:tcBorders>
            <w:shd w:val="clear" w:color="auto" w:fill="auto"/>
            <w:noWrap/>
            <w:vAlign w:val="center"/>
            <w:hideMark/>
          </w:tcPr>
          <w:p w14:paraId="53021B1D"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6</w:t>
            </w:r>
          </w:p>
        </w:tc>
        <w:tc>
          <w:tcPr>
            <w:tcW w:w="1134" w:type="dxa"/>
            <w:tcBorders>
              <w:top w:val="single" w:sz="4" w:space="0" w:color="auto"/>
              <w:left w:val="nil"/>
              <w:bottom w:val="double" w:sz="6" w:space="0" w:color="auto"/>
              <w:right w:val="nil"/>
            </w:tcBorders>
            <w:shd w:val="clear" w:color="auto" w:fill="auto"/>
            <w:noWrap/>
            <w:vAlign w:val="center"/>
            <w:hideMark/>
          </w:tcPr>
          <w:p w14:paraId="12D70952"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31</w:t>
            </w:r>
          </w:p>
        </w:tc>
        <w:tc>
          <w:tcPr>
            <w:tcW w:w="1129" w:type="dxa"/>
            <w:tcBorders>
              <w:top w:val="single" w:sz="4" w:space="0" w:color="auto"/>
              <w:left w:val="nil"/>
              <w:bottom w:val="double" w:sz="6" w:space="0" w:color="auto"/>
              <w:right w:val="single" w:sz="4" w:space="0" w:color="auto"/>
            </w:tcBorders>
            <w:shd w:val="clear" w:color="auto" w:fill="auto"/>
            <w:noWrap/>
            <w:vAlign w:val="center"/>
            <w:hideMark/>
          </w:tcPr>
          <w:p w14:paraId="5E8D43D6" w14:textId="77777777" w:rsidR="001D38FE" w:rsidRPr="007C740F" w:rsidRDefault="001D38FE" w:rsidP="002267E5">
            <w:pPr>
              <w:keepNext/>
              <w:spacing w:after="0" w:line="240" w:lineRule="auto"/>
              <w:jc w:val="center"/>
              <w:rPr>
                <w:rFonts w:eastAsia="Times New Roman" w:cs="Arial"/>
                <w:sz w:val="16"/>
                <w:szCs w:val="16"/>
                <w:lang w:eastAsia="en-GB"/>
              </w:rPr>
            </w:pPr>
            <w:r w:rsidRPr="007C740F">
              <w:rPr>
                <w:rFonts w:eastAsia="Times New Roman" w:cs="Arial"/>
                <w:sz w:val="16"/>
                <w:szCs w:val="16"/>
                <w:lang w:eastAsia="en-GB"/>
              </w:rPr>
              <w:t>63</w:t>
            </w:r>
          </w:p>
        </w:tc>
        <w:tc>
          <w:tcPr>
            <w:tcW w:w="997" w:type="dxa"/>
            <w:tcBorders>
              <w:top w:val="single" w:sz="4" w:space="0" w:color="auto"/>
              <w:left w:val="single" w:sz="4" w:space="0" w:color="auto"/>
              <w:bottom w:val="double" w:sz="6" w:space="0" w:color="auto"/>
              <w:right w:val="single" w:sz="4" w:space="0" w:color="auto"/>
            </w:tcBorders>
            <w:vAlign w:val="center"/>
          </w:tcPr>
          <w:p w14:paraId="6C7059A8" w14:textId="77777777" w:rsidR="001D38FE" w:rsidRPr="007C740F" w:rsidRDefault="001D38FE" w:rsidP="002267E5">
            <w:pPr>
              <w:keepNext/>
              <w:spacing w:after="0"/>
              <w:jc w:val="center"/>
              <w:rPr>
                <w:rFonts w:cs="Arial"/>
                <w:sz w:val="16"/>
                <w:szCs w:val="16"/>
              </w:rPr>
            </w:pPr>
            <w:r w:rsidRPr="007C740F">
              <w:rPr>
                <w:rFonts w:cs="Arial"/>
                <w:sz w:val="16"/>
                <w:szCs w:val="16"/>
              </w:rPr>
              <w:t>3.08</w:t>
            </w:r>
          </w:p>
        </w:tc>
        <w:tc>
          <w:tcPr>
            <w:tcW w:w="1276" w:type="dxa"/>
            <w:tcBorders>
              <w:top w:val="single" w:sz="4" w:space="0" w:color="auto"/>
              <w:left w:val="single" w:sz="4" w:space="0" w:color="auto"/>
              <w:bottom w:val="double" w:sz="6" w:space="0" w:color="auto"/>
              <w:right w:val="nil"/>
            </w:tcBorders>
            <w:shd w:val="clear" w:color="auto" w:fill="auto"/>
            <w:noWrap/>
            <w:vAlign w:val="center"/>
            <w:hideMark/>
          </w:tcPr>
          <w:p w14:paraId="2D2C77F8" w14:textId="77777777" w:rsidR="001D38FE" w:rsidRPr="007C740F" w:rsidRDefault="001D38FE" w:rsidP="002267E5">
            <w:pPr>
              <w:keepNext/>
              <w:spacing w:after="0"/>
              <w:jc w:val="center"/>
              <w:rPr>
                <w:rFonts w:cs="Arial"/>
                <w:sz w:val="16"/>
                <w:szCs w:val="16"/>
              </w:rPr>
            </w:pPr>
            <w:r w:rsidRPr="007C740F">
              <w:rPr>
                <w:rFonts w:cs="Arial"/>
                <w:sz w:val="16"/>
                <w:szCs w:val="16"/>
              </w:rPr>
              <w:t>4.8</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1E033B57" w14:textId="77777777" w:rsidR="001D38FE" w:rsidRPr="007C740F" w:rsidRDefault="001D38FE" w:rsidP="002267E5">
            <w:pPr>
              <w:keepNext/>
              <w:spacing w:after="0"/>
              <w:jc w:val="center"/>
              <w:rPr>
                <w:rFonts w:cs="Arial"/>
                <w:sz w:val="16"/>
                <w:szCs w:val="16"/>
              </w:rPr>
            </w:pPr>
            <w:r w:rsidRPr="007C740F">
              <w:rPr>
                <w:rFonts w:cs="Arial"/>
                <w:sz w:val="16"/>
                <w:szCs w:val="16"/>
              </w:rPr>
              <w:t>2.2</w:t>
            </w:r>
          </w:p>
        </w:tc>
      </w:tr>
      <w:tr w:rsidR="001D38FE" w:rsidRPr="007C740F" w14:paraId="26C1B0EB" w14:textId="77777777" w:rsidTr="002267E5">
        <w:trPr>
          <w:trHeight w:val="255"/>
          <w:jc w:val="center"/>
        </w:trPr>
        <w:tc>
          <w:tcPr>
            <w:tcW w:w="993" w:type="dxa"/>
            <w:tcBorders>
              <w:top w:val="nil"/>
              <w:left w:val="single" w:sz="4" w:space="0" w:color="auto"/>
              <w:bottom w:val="single" w:sz="4" w:space="0" w:color="auto"/>
              <w:right w:val="nil"/>
            </w:tcBorders>
            <w:shd w:val="clear" w:color="auto" w:fill="auto"/>
            <w:noWrap/>
            <w:vAlign w:val="center"/>
            <w:hideMark/>
          </w:tcPr>
          <w:p w14:paraId="3DF48EC6" w14:textId="77777777" w:rsidR="001D38FE" w:rsidRPr="007C740F" w:rsidRDefault="001D38FE" w:rsidP="001D38FE">
            <w:pPr>
              <w:spacing w:after="0" w:line="240" w:lineRule="auto"/>
              <w:rPr>
                <w:rFonts w:eastAsia="Times New Roman" w:cs="Arial"/>
                <w:sz w:val="16"/>
                <w:szCs w:val="16"/>
                <w:lang w:eastAsia="en-GB"/>
              </w:rPr>
            </w:pPr>
            <w:r w:rsidRPr="007C740F">
              <w:rPr>
                <w:rFonts w:eastAsia="Times New Roman" w:cs="Arial"/>
                <w:sz w:val="16"/>
                <w:szCs w:val="16"/>
                <w:lang w:eastAsia="en-GB"/>
              </w:rPr>
              <w:t xml:space="preserve"> W Europe</w:t>
            </w:r>
          </w:p>
        </w:tc>
        <w:tc>
          <w:tcPr>
            <w:tcW w:w="992" w:type="dxa"/>
            <w:tcBorders>
              <w:top w:val="nil"/>
              <w:left w:val="single" w:sz="4" w:space="0" w:color="auto"/>
              <w:bottom w:val="single" w:sz="4" w:space="0" w:color="auto"/>
              <w:right w:val="nil"/>
            </w:tcBorders>
            <w:shd w:val="clear" w:color="auto" w:fill="auto"/>
            <w:noWrap/>
            <w:vAlign w:val="center"/>
            <w:hideMark/>
          </w:tcPr>
          <w:p w14:paraId="6A16249C" w14:textId="77777777" w:rsidR="001D38FE" w:rsidRPr="007C740F" w:rsidRDefault="001D38FE" w:rsidP="001D38FE">
            <w:pPr>
              <w:spacing w:after="0" w:line="240" w:lineRule="auto"/>
              <w:jc w:val="center"/>
              <w:rPr>
                <w:rFonts w:eastAsia="Times New Roman" w:cs="Arial"/>
                <w:sz w:val="16"/>
                <w:szCs w:val="16"/>
                <w:lang w:eastAsia="en-GB"/>
              </w:rPr>
            </w:pPr>
            <w:r w:rsidRPr="007C740F">
              <w:rPr>
                <w:rFonts w:eastAsia="Times New Roman" w:cs="Arial"/>
                <w:sz w:val="16"/>
                <w:szCs w:val="16"/>
                <w:lang w:eastAsia="en-GB"/>
              </w:rPr>
              <w:t>16</w:t>
            </w:r>
          </w:p>
        </w:tc>
        <w:tc>
          <w:tcPr>
            <w:tcW w:w="1134" w:type="dxa"/>
            <w:tcBorders>
              <w:top w:val="nil"/>
              <w:left w:val="nil"/>
              <w:bottom w:val="single" w:sz="4" w:space="0" w:color="auto"/>
              <w:right w:val="nil"/>
            </w:tcBorders>
            <w:shd w:val="clear" w:color="auto" w:fill="auto"/>
            <w:noWrap/>
            <w:vAlign w:val="center"/>
            <w:hideMark/>
          </w:tcPr>
          <w:p w14:paraId="6E8756FA" w14:textId="77777777" w:rsidR="001D38FE" w:rsidRPr="007C740F" w:rsidRDefault="001D38FE" w:rsidP="001D38FE">
            <w:pPr>
              <w:spacing w:after="0" w:line="240" w:lineRule="auto"/>
              <w:jc w:val="center"/>
              <w:rPr>
                <w:rFonts w:eastAsia="Times New Roman" w:cs="Arial"/>
                <w:sz w:val="16"/>
                <w:szCs w:val="16"/>
                <w:lang w:eastAsia="en-GB"/>
              </w:rPr>
            </w:pPr>
            <w:r w:rsidRPr="007C740F">
              <w:rPr>
                <w:rFonts w:eastAsia="Times New Roman" w:cs="Arial"/>
                <w:sz w:val="16"/>
                <w:szCs w:val="16"/>
                <w:lang w:eastAsia="en-GB"/>
              </w:rPr>
              <w:t>48</w:t>
            </w:r>
          </w:p>
        </w:tc>
        <w:tc>
          <w:tcPr>
            <w:tcW w:w="1129" w:type="dxa"/>
            <w:tcBorders>
              <w:top w:val="nil"/>
              <w:left w:val="nil"/>
              <w:bottom w:val="single" w:sz="4" w:space="0" w:color="auto"/>
              <w:right w:val="single" w:sz="4" w:space="0" w:color="auto"/>
            </w:tcBorders>
            <w:shd w:val="clear" w:color="auto" w:fill="auto"/>
            <w:noWrap/>
            <w:vAlign w:val="center"/>
            <w:hideMark/>
          </w:tcPr>
          <w:p w14:paraId="59209AA6" w14:textId="77777777" w:rsidR="001D38FE" w:rsidRPr="007C740F" w:rsidRDefault="001D38FE" w:rsidP="001D38FE">
            <w:pPr>
              <w:spacing w:after="0" w:line="240" w:lineRule="auto"/>
              <w:jc w:val="center"/>
              <w:rPr>
                <w:rFonts w:eastAsia="Times New Roman" w:cs="Arial"/>
                <w:sz w:val="16"/>
                <w:szCs w:val="16"/>
                <w:lang w:eastAsia="en-GB"/>
              </w:rPr>
            </w:pPr>
            <w:r w:rsidRPr="007C740F">
              <w:rPr>
                <w:rFonts w:eastAsia="Times New Roman" w:cs="Arial"/>
                <w:sz w:val="16"/>
                <w:szCs w:val="16"/>
                <w:lang w:eastAsia="en-GB"/>
              </w:rPr>
              <w:t>36</w:t>
            </w:r>
          </w:p>
        </w:tc>
        <w:tc>
          <w:tcPr>
            <w:tcW w:w="997" w:type="dxa"/>
            <w:tcBorders>
              <w:top w:val="nil"/>
              <w:left w:val="single" w:sz="4" w:space="0" w:color="auto"/>
              <w:bottom w:val="single" w:sz="4" w:space="0" w:color="auto"/>
              <w:right w:val="single" w:sz="4" w:space="0" w:color="auto"/>
            </w:tcBorders>
            <w:vAlign w:val="center"/>
          </w:tcPr>
          <w:p w14:paraId="52D9A673" w14:textId="77777777" w:rsidR="001D38FE" w:rsidRPr="007C740F" w:rsidRDefault="001D38FE" w:rsidP="001D38FE">
            <w:pPr>
              <w:spacing w:after="0"/>
              <w:jc w:val="center"/>
              <w:rPr>
                <w:rFonts w:cs="Arial"/>
                <w:sz w:val="16"/>
                <w:szCs w:val="16"/>
              </w:rPr>
            </w:pPr>
            <w:r w:rsidRPr="007C740F">
              <w:rPr>
                <w:rFonts w:cs="Arial"/>
                <w:sz w:val="16"/>
                <w:szCs w:val="16"/>
              </w:rPr>
              <w:t>1.72</w:t>
            </w:r>
          </w:p>
        </w:tc>
        <w:tc>
          <w:tcPr>
            <w:tcW w:w="1276" w:type="dxa"/>
            <w:tcBorders>
              <w:top w:val="nil"/>
              <w:left w:val="single" w:sz="4" w:space="0" w:color="auto"/>
              <w:bottom w:val="single" w:sz="4" w:space="0" w:color="auto"/>
              <w:right w:val="nil"/>
            </w:tcBorders>
            <w:shd w:val="clear" w:color="auto" w:fill="auto"/>
            <w:noWrap/>
            <w:vAlign w:val="center"/>
            <w:hideMark/>
          </w:tcPr>
          <w:p w14:paraId="02D362F2" w14:textId="77777777" w:rsidR="001D38FE" w:rsidRPr="007C740F" w:rsidRDefault="001D38FE" w:rsidP="001D38FE">
            <w:pPr>
              <w:spacing w:after="0"/>
              <w:jc w:val="center"/>
              <w:rPr>
                <w:rFonts w:cs="Arial"/>
                <w:sz w:val="16"/>
                <w:szCs w:val="16"/>
              </w:rPr>
            </w:pPr>
            <w:r w:rsidRPr="007C740F">
              <w:rPr>
                <w:rFonts w:cs="Arial"/>
                <w:sz w:val="16"/>
                <w:szCs w:val="16"/>
              </w:rPr>
              <w:t>6.5</w:t>
            </w:r>
          </w:p>
        </w:tc>
        <w:tc>
          <w:tcPr>
            <w:tcW w:w="1276" w:type="dxa"/>
            <w:tcBorders>
              <w:top w:val="nil"/>
              <w:left w:val="nil"/>
              <w:bottom w:val="single" w:sz="4" w:space="0" w:color="auto"/>
              <w:right w:val="single" w:sz="4" w:space="0" w:color="auto"/>
            </w:tcBorders>
            <w:shd w:val="clear" w:color="auto" w:fill="auto"/>
            <w:noWrap/>
            <w:vAlign w:val="center"/>
            <w:hideMark/>
          </w:tcPr>
          <w:p w14:paraId="0287973D" w14:textId="77777777" w:rsidR="001D38FE" w:rsidRPr="007C740F" w:rsidRDefault="001D38FE" w:rsidP="001D38FE">
            <w:pPr>
              <w:spacing w:after="0"/>
              <w:jc w:val="center"/>
              <w:rPr>
                <w:rFonts w:cs="Arial"/>
                <w:sz w:val="16"/>
                <w:szCs w:val="16"/>
              </w:rPr>
            </w:pPr>
            <w:r w:rsidRPr="007C740F">
              <w:rPr>
                <w:rFonts w:cs="Arial"/>
                <w:sz w:val="16"/>
                <w:szCs w:val="16"/>
              </w:rPr>
              <w:t>3.0</w:t>
            </w:r>
          </w:p>
        </w:tc>
      </w:tr>
    </w:tbl>
    <w:p w14:paraId="378EE809" w14:textId="2CCDD438" w:rsidR="00AD2999" w:rsidRPr="007C740F" w:rsidRDefault="00BF5733" w:rsidP="001E505A">
      <w:pPr>
        <w:pStyle w:val="BodyText1"/>
        <w:spacing w:before="240"/>
        <w:jc w:val="both"/>
      </w:pPr>
      <w:r w:rsidRPr="007C740F">
        <w:t>In high income settings</w:t>
      </w:r>
      <w:r w:rsidR="00BD2D5E" w:rsidRPr="007C740F">
        <w:t>,</w:t>
      </w:r>
      <w:r w:rsidRPr="007C740F">
        <w:t xml:space="preserve"> rhesus haemolytic disease is practically eliminated by routine administration of anti-D to rhesus negative mothers during pregnancy and immediately after birth</w:t>
      </w:r>
      <w:r w:rsidR="00273C2B" w:rsidRPr="007C740F">
        <w:t xml:space="preserve"> (Clarke 1983)</w:t>
      </w:r>
      <w:r w:rsidRPr="007C740F">
        <w:t xml:space="preserve">. It is difficult to estimate its current birth </w:t>
      </w:r>
      <w:r w:rsidR="002A3C17" w:rsidRPr="007C740F">
        <w:t xml:space="preserve">prevalence </w:t>
      </w:r>
      <w:r w:rsidRPr="007C740F">
        <w:t xml:space="preserve">elsewhere for </w:t>
      </w:r>
      <w:r w:rsidR="00823067" w:rsidRPr="007C740F">
        <w:t xml:space="preserve">three </w:t>
      </w:r>
      <w:r w:rsidRPr="007C740F">
        <w:t>reasons</w:t>
      </w:r>
      <w:r w:rsidR="00673941" w:rsidRPr="007C740F">
        <w:t>:</w:t>
      </w:r>
      <w:r w:rsidRPr="007C740F">
        <w:t xml:space="preserve"> </w:t>
      </w:r>
      <w:r w:rsidR="00823067" w:rsidRPr="007C740F">
        <w:t xml:space="preserve">(1) The accepted rate of maternal iso-immunisation is based on observations in Northern European populations but there </w:t>
      </w:r>
      <w:r w:rsidR="00273C2B" w:rsidRPr="007C740F">
        <w:t>is evidence of</w:t>
      </w:r>
      <w:r w:rsidR="00823067" w:rsidRPr="007C740F">
        <w:t xml:space="preserve"> ethnic differences. (2) C</w:t>
      </w:r>
      <w:r w:rsidRPr="007C740F">
        <w:t xml:space="preserve">ontrol of rhesus haemolytic disease </w:t>
      </w:r>
      <w:r w:rsidR="005A2362" w:rsidRPr="007C740F">
        <w:t xml:space="preserve">does not appear to be </w:t>
      </w:r>
      <w:r w:rsidR="004B097B" w:rsidRPr="007C740F">
        <w:t xml:space="preserve">explicitly </w:t>
      </w:r>
      <w:r w:rsidR="00967C3D" w:rsidRPr="007C740F">
        <w:t>recommend</w:t>
      </w:r>
      <w:r w:rsidR="005A2362" w:rsidRPr="007C740F">
        <w:t>ed</w:t>
      </w:r>
      <w:r w:rsidR="00967C3D" w:rsidRPr="007C740F">
        <w:t xml:space="preserve"> in parts of SEAR and WPR. </w:t>
      </w:r>
      <w:r w:rsidR="00823067" w:rsidRPr="007C740F">
        <w:t>(3)</w:t>
      </w:r>
      <w:r w:rsidR="00967C3D" w:rsidRPr="007C740F">
        <w:t xml:space="preserve"> </w:t>
      </w:r>
      <w:r w:rsidR="00823067" w:rsidRPr="007C740F">
        <w:t>S</w:t>
      </w:r>
      <w:r w:rsidRPr="007C740F">
        <w:t xml:space="preserve">ince </w:t>
      </w:r>
      <w:r w:rsidR="00967C3D" w:rsidRPr="007C740F">
        <w:t>m</w:t>
      </w:r>
      <w:r w:rsidR="00E51B59" w:rsidRPr="007C740F">
        <w:t>aternity services lie somewhere between primary care and specialist services,</w:t>
      </w:r>
      <w:r w:rsidR="00967C3D" w:rsidRPr="007C740F">
        <w:t xml:space="preserve"> </w:t>
      </w:r>
      <w:r w:rsidR="00E51B59" w:rsidRPr="007C740F">
        <w:t xml:space="preserve">access </w:t>
      </w:r>
      <w:r w:rsidR="00823067" w:rsidRPr="007C740F">
        <w:t xml:space="preserve">to care </w:t>
      </w:r>
      <w:r w:rsidR="00E51B59" w:rsidRPr="007C740F">
        <w:t xml:space="preserve">is </w:t>
      </w:r>
      <w:r w:rsidR="0056657E" w:rsidRPr="007C740F">
        <w:t xml:space="preserve">likely to exceed the MGDb </w:t>
      </w:r>
      <w:r w:rsidR="00273C2B" w:rsidRPr="007C740F">
        <w:t xml:space="preserve">estimation </w:t>
      </w:r>
      <w:r w:rsidR="0056657E" w:rsidRPr="007C740F">
        <w:t>of access</w:t>
      </w:r>
      <w:r w:rsidR="00A020EC" w:rsidRPr="007C740F">
        <w:t>.</w:t>
      </w:r>
      <w:r w:rsidR="0056657E" w:rsidRPr="007C740F">
        <w:t xml:space="preserve"> </w:t>
      </w:r>
      <w:r w:rsidR="003F1C98" w:rsidRPr="007C740F">
        <w:t>Nevertheless</w:t>
      </w:r>
      <w:r w:rsidR="00A020EC" w:rsidRPr="007C740F">
        <w:t>,</w:t>
      </w:r>
      <w:r w:rsidR="003F1C98" w:rsidRPr="007C740F">
        <w:t xml:space="preserve"> </w:t>
      </w:r>
      <w:r w:rsidR="00A020EC" w:rsidRPr="007C740F">
        <w:t xml:space="preserve">the </w:t>
      </w:r>
      <w:r w:rsidR="003F1C98" w:rsidRPr="007C740F">
        <w:t xml:space="preserve">attempt to estimate its effect described in Article 11 (Rhesus Negativity) suggests that </w:t>
      </w:r>
      <w:r w:rsidR="00AD2999" w:rsidRPr="007C740F">
        <w:t xml:space="preserve">less than 50% of affected births </w:t>
      </w:r>
      <w:r w:rsidR="003F1C98" w:rsidRPr="007C740F">
        <w:t xml:space="preserve">may be </w:t>
      </w:r>
      <w:r w:rsidR="00AD2999" w:rsidRPr="007C740F">
        <w:t>avoided world-wide.</w:t>
      </w:r>
    </w:p>
    <w:p w14:paraId="7B00937A" w14:textId="77777777" w:rsidR="00A62A93" w:rsidRPr="007C740F" w:rsidRDefault="009F79B0" w:rsidP="00CE1D01">
      <w:pPr>
        <w:pStyle w:val="Heading2"/>
      </w:pPr>
      <w:bookmarkStart w:id="25" w:name="_Toc193659676"/>
      <w:r w:rsidRPr="007C740F">
        <w:lastRenderedPageBreak/>
        <w:t>G</w:t>
      </w:r>
      <w:r w:rsidR="00FA3783" w:rsidRPr="007C740F">
        <w:t>enetic risk detection and counselling</w:t>
      </w:r>
      <w:bookmarkEnd w:id="25"/>
    </w:p>
    <w:p w14:paraId="6026AEB2" w14:textId="757B0303" w:rsidR="00F9403F" w:rsidRPr="007C740F" w:rsidRDefault="00F9403F" w:rsidP="00F555B6">
      <w:pPr>
        <w:pStyle w:val="BodyText1"/>
        <w:jc w:val="both"/>
      </w:pPr>
      <w:r w:rsidRPr="007C740F">
        <w:t xml:space="preserve">The key objectives of a genetics service are to provide accurate diagnosis, </w:t>
      </w:r>
      <w:r w:rsidR="00281025" w:rsidRPr="007C740F">
        <w:t>promote</w:t>
      </w:r>
      <w:r w:rsidRPr="007C740F">
        <w:t xml:space="preserve"> care for affected individuals, detect genetic risk for relatives and the general population, and provide information </w:t>
      </w:r>
      <w:r w:rsidR="003F1C98" w:rsidRPr="007C740F">
        <w:t xml:space="preserve">and counselling </w:t>
      </w:r>
      <w:r w:rsidR="00281025" w:rsidRPr="007C740F">
        <w:t>on</w:t>
      </w:r>
      <w:r w:rsidRPr="007C740F">
        <w:t xml:space="preserve"> manag</w:t>
      </w:r>
      <w:r w:rsidR="00281025" w:rsidRPr="007C740F">
        <w:t xml:space="preserve">ing </w:t>
      </w:r>
      <w:r w:rsidRPr="007C740F">
        <w:t xml:space="preserve">genetic risk. The potential reach of a genetics service is therefore determined by local possibilities for </w:t>
      </w:r>
      <w:r w:rsidR="00AD2999" w:rsidRPr="007C740F">
        <w:t xml:space="preserve">genetic </w:t>
      </w:r>
      <w:r w:rsidRPr="007C740F">
        <w:t>diagnosis and risk detection.</w:t>
      </w:r>
    </w:p>
    <w:p w14:paraId="4708DAC6" w14:textId="67B5D5CD" w:rsidR="002133F5" w:rsidRPr="007C740F" w:rsidRDefault="00C13DD9" w:rsidP="00F555B6">
      <w:pPr>
        <w:pStyle w:val="BodyText1"/>
        <w:jc w:val="both"/>
      </w:pPr>
      <w:r w:rsidRPr="007C740F">
        <w:t xml:space="preserve">The ability to </w:t>
      </w:r>
      <w:r w:rsidR="00592D5A" w:rsidRPr="007C740F">
        <w:t xml:space="preserve">detect </w:t>
      </w:r>
      <w:r w:rsidR="003F1C98" w:rsidRPr="007C740F">
        <w:t xml:space="preserve">reproductive </w:t>
      </w:r>
      <w:r w:rsidRPr="007C740F">
        <w:t xml:space="preserve">risk of single gene disorders depends on whether carriers can be </w:t>
      </w:r>
      <w:r w:rsidR="00592D5A" w:rsidRPr="007C740F">
        <w:t xml:space="preserve">identified </w:t>
      </w:r>
      <w:r w:rsidRPr="007C740F">
        <w:t>before the birth of any affected child</w:t>
      </w:r>
      <w:r w:rsidR="00AD2999" w:rsidRPr="007C740F">
        <w:t xml:space="preserve"> (prospectively</w:t>
      </w:r>
      <w:r w:rsidR="009F79B0" w:rsidRPr="007C740F">
        <w:t>)</w:t>
      </w:r>
      <w:r w:rsidRPr="007C740F">
        <w:t xml:space="preserve"> or only after the diagnosis of an affected child (retrospectively)</w:t>
      </w:r>
      <w:r w:rsidR="00A8553D" w:rsidRPr="007C740F">
        <w:t xml:space="preserve"> (WHO</w:t>
      </w:r>
      <w:r w:rsidR="005C7321" w:rsidRPr="007C740F">
        <w:t xml:space="preserve"> 1966b)</w:t>
      </w:r>
      <w:r w:rsidRPr="007C740F">
        <w:t>.</w:t>
      </w:r>
    </w:p>
    <w:p w14:paraId="39BDBE4A" w14:textId="77777777" w:rsidR="002133F5" w:rsidRPr="007C740F" w:rsidRDefault="002133F5" w:rsidP="00CE1D01">
      <w:pPr>
        <w:pStyle w:val="Heading3"/>
      </w:pPr>
      <w:bookmarkStart w:id="26" w:name="_Toc193659677"/>
      <w:r w:rsidRPr="007C740F">
        <w:t>Retrospective risk detection</w:t>
      </w:r>
      <w:bookmarkEnd w:id="26"/>
    </w:p>
    <w:p w14:paraId="52534CFD" w14:textId="5A5A02DB" w:rsidR="00D16CDB" w:rsidRPr="007C740F" w:rsidRDefault="00C13DD9" w:rsidP="00F555B6">
      <w:pPr>
        <w:pStyle w:val="BodyText1"/>
        <w:jc w:val="both"/>
      </w:pPr>
      <w:r w:rsidRPr="007C740F">
        <w:t xml:space="preserve">At present risk for most rare single gene disorders </w:t>
      </w:r>
      <w:r w:rsidR="00E1489D" w:rsidRPr="007C740F">
        <w:t xml:space="preserve">is </w:t>
      </w:r>
      <w:r w:rsidR="00DE0060" w:rsidRPr="007C740F">
        <w:t xml:space="preserve">only </w:t>
      </w:r>
      <w:r w:rsidRPr="007C740F">
        <w:t>identified</w:t>
      </w:r>
      <w:r w:rsidR="00DE0060" w:rsidRPr="007C740F">
        <w:t xml:space="preserve"> </w:t>
      </w:r>
      <w:r w:rsidR="005C7321" w:rsidRPr="007C740F">
        <w:t>after the diagnosis of an affected child</w:t>
      </w:r>
      <w:r w:rsidR="00DE0060" w:rsidRPr="007C740F">
        <w:t xml:space="preserve">. </w:t>
      </w:r>
      <w:r w:rsidR="002133F5" w:rsidRPr="007C740F">
        <w:t>Retrospective risk detection</w:t>
      </w:r>
      <w:r w:rsidR="00501A0D" w:rsidRPr="007C740F">
        <w:t xml:space="preserve"> </w:t>
      </w:r>
      <w:r w:rsidR="00AD2999" w:rsidRPr="007C740F">
        <w:t xml:space="preserve">and genetic counselling </w:t>
      </w:r>
      <w:r w:rsidR="003F1C98" w:rsidRPr="007C740F">
        <w:t xml:space="preserve">are </w:t>
      </w:r>
      <w:r w:rsidR="00E1489D" w:rsidRPr="007C740F">
        <w:t>very valuable for</w:t>
      </w:r>
      <w:r w:rsidR="00501A0D" w:rsidRPr="007C740F">
        <w:t xml:space="preserve"> </w:t>
      </w:r>
      <w:r w:rsidR="005C7321" w:rsidRPr="007C740F">
        <w:t xml:space="preserve">the </w:t>
      </w:r>
      <w:r w:rsidR="00E1489D" w:rsidRPr="007C740F">
        <w:t xml:space="preserve">parents. </w:t>
      </w:r>
      <w:r w:rsidR="002A52A5" w:rsidRPr="007C740F">
        <w:t>However,</w:t>
      </w:r>
      <w:r w:rsidR="00E1489D" w:rsidRPr="007C740F">
        <w:t xml:space="preserve"> </w:t>
      </w:r>
      <w:r w:rsidR="005A4339" w:rsidRPr="007C740F">
        <w:t xml:space="preserve">only subsequent </w:t>
      </w:r>
      <w:r w:rsidR="00F10468" w:rsidRPr="007C740F">
        <w:t>affected births can be avoided</w:t>
      </w:r>
      <w:r w:rsidR="00A020EC" w:rsidRPr="007C740F">
        <w:t>,</w:t>
      </w:r>
      <w:r w:rsidR="00C90305" w:rsidRPr="007C740F">
        <w:t xml:space="preserve"> </w:t>
      </w:r>
      <w:r w:rsidR="00A020EC" w:rsidRPr="007C740F">
        <w:t xml:space="preserve">so </w:t>
      </w:r>
      <w:r w:rsidR="005C7321" w:rsidRPr="007C740F">
        <w:t xml:space="preserve">any </w:t>
      </w:r>
      <w:r w:rsidR="00E1489D" w:rsidRPr="007C740F">
        <w:t xml:space="preserve">possible effect </w:t>
      </w:r>
      <w:r w:rsidR="00C90305" w:rsidRPr="007C740F">
        <w:t xml:space="preserve">at the population level </w:t>
      </w:r>
      <w:r w:rsidR="002133F5" w:rsidRPr="007C740F">
        <w:t xml:space="preserve">depends on </w:t>
      </w:r>
      <w:r w:rsidR="005A4339" w:rsidRPr="007C740F">
        <w:t>the population norm for final family size</w:t>
      </w:r>
      <w:r w:rsidR="00C90305" w:rsidRPr="007C740F">
        <w:t xml:space="preserve">. </w:t>
      </w:r>
      <w:r w:rsidR="00A020EC" w:rsidRPr="007C740F">
        <w:t>E</w:t>
      </w:r>
      <w:r w:rsidR="00C90305" w:rsidRPr="007C740F">
        <w:t xml:space="preserve">xperience </w:t>
      </w:r>
      <w:r w:rsidR="00A020EC" w:rsidRPr="007C740F">
        <w:t xml:space="preserve">with the haemoglobin disorders </w:t>
      </w:r>
      <w:r w:rsidR="00C90305" w:rsidRPr="007C740F">
        <w:t xml:space="preserve">shows that </w:t>
      </w:r>
      <w:r w:rsidR="00A020EC" w:rsidRPr="007C740F">
        <w:t xml:space="preserve">when a severe disorder is concerned </w:t>
      </w:r>
      <w:r w:rsidR="00C90305" w:rsidRPr="007C740F">
        <w:t xml:space="preserve">informed </w:t>
      </w:r>
      <w:r w:rsidR="00A020EC" w:rsidRPr="007C740F">
        <w:t xml:space="preserve">at-risk </w:t>
      </w:r>
      <w:r w:rsidR="00C90305" w:rsidRPr="007C740F">
        <w:t xml:space="preserve">couples stop further reproduction once they have one or two unaffected children. Figure </w:t>
      </w:r>
      <w:r w:rsidR="00DE3082" w:rsidRPr="007C740F">
        <w:t>8</w:t>
      </w:r>
      <w:r w:rsidR="00C90305" w:rsidRPr="007C740F">
        <w:t xml:space="preserve"> shows the calculated effect of this behaviour on affected birth prevalence in relation to average final family size. </w:t>
      </w:r>
      <w:r w:rsidR="00A020EC" w:rsidRPr="007C740F">
        <w:t>(Population total fertility rate (TFR) is used as a proxy for final family size.)</w:t>
      </w:r>
    </w:p>
    <w:p w14:paraId="5B208528" w14:textId="71E7961B" w:rsidR="00D16CDB" w:rsidRPr="007C740F" w:rsidRDefault="00D16CDB" w:rsidP="00D16CDB">
      <w:pPr>
        <w:pStyle w:val="BodyText1"/>
        <w:jc w:val="center"/>
      </w:pPr>
      <w:r w:rsidRPr="007C740F">
        <w:rPr>
          <w:noProof/>
          <w:lang w:eastAsia="en-GB"/>
        </w:rPr>
        <w:drawing>
          <wp:inline distT="0" distB="0" distL="0" distR="0" wp14:anchorId="06301986" wp14:editId="0822EAF5">
            <wp:extent cx="4412974" cy="2352441"/>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3384" cy="2363321"/>
                    </a:xfrm>
                    <a:prstGeom prst="rect">
                      <a:avLst/>
                    </a:prstGeom>
                    <a:noFill/>
                  </pic:spPr>
                </pic:pic>
              </a:graphicData>
            </a:graphic>
          </wp:inline>
        </w:drawing>
      </w:r>
    </w:p>
    <w:p w14:paraId="07754FE2" w14:textId="1A5E4A6D" w:rsidR="00D16CDB" w:rsidRPr="007C740F" w:rsidRDefault="00D16CDB" w:rsidP="00F555B6">
      <w:pPr>
        <w:pStyle w:val="Figurelegend"/>
        <w:jc w:val="both"/>
        <w:rPr>
          <w:rFonts w:eastAsiaTheme="minorHAnsi"/>
        </w:rPr>
      </w:pPr>
      <w:r w:rsidRPr="007C740F">
        <w:rPr>
          <w:rFonts w:eastAsiaTheme="minorHAnsi"/>
          <w:lang w:val="en-US"/>
        </w:rPr>
        <w:t xml:space="preserve">Figure </w:t>
      </w:r>
      <w:r w:rsidR="00DE3082" w:rsidRPr="007C740F">
        <w:rPr>
          <w:rFonts w:eastAsiaTheme="minorHAnsi"/>
          <w:lang w:val="en-US"/>
        </w:rPr>
        <w:t>8</w:t>
      </w:r>
      <w:r w:rsidRPr="007C740F">
        <w:rPr>
          <w:rFonts w:eastAsiaTheme="minorHAnsi"/>
          <w:lang w:val="en-US"/>
        </w:rPr>
        <w:t xml:space="preserve">. Maximum possible effect of retrospective genetic counselling on </w:t>
      </w:r>
      <w:r w:rsidR="00DA2920" w:rsidRPr="007C740F">
        <w:rPr>
          <w:rFonts w:eastAsiaTheme="minorHAnsi"/>
          <w:lang w:val="en-US"/>
        </w:rPr>
        <w:t xml:space="preserve">the </w:t>
      </w:r>
      <w:r w:rsidRPr="007C740F">
        <w:rPr>
          <w:rFonts w:eastAsiaTheme="minorHAnsi"/>
          <w:lang w:val="en-US"/>
        </w:rPr>
        <w:t>birth prevalence</w:t>
      </w:r>
      <w:r w:rsidR="00DA2920" w:rsidRPr="007C740F">
        <w:rPr>
          <w:rFonts w:eastAsiaTheme="minorHAnsi"/>
          <w:lang w:val="en-US"/>
        </w:rPr>
        <w:t xml:space="preserve"> of a severe recessive disorder</w:t>
      </w:r>
      <w:r w:rsidR="00D35EB7" w:rsidRPr="007C740F">
        <w:rPr>
          <w:rFonts w:eastAsiaTheme="minorHAnsi"/>
          <w:lang w:val="en-US"/>
        </w:rPr>
        <w:t xml:space="preserve"> (a) </w:t>
      </w:r>
      <w:r w:rsidR="00C90305" w:rsidRPr="007C740F">
        <w:rPr>
          <w:rFonts w:eastAsiaTheme="minorHAnsi"/>
          <w:lang w:val="en-US"/>
        </w:rPr>
        <w:t>in the absence of any risk information</w:t>
      </w:r>
      <w:r w:rsidR="003854E1" w:rsidRPr="007C740F">
        <w:rPr>
          <w:rFonts w:eastAsiaTheme="minorHAnsi"/>
          <w:lang w:val="en-US"/>
        </w:rPr>
        <w:t xml:space="preserve"> (red)</w:t>
      </w:r>
      <w:r w:rsidR="00C90305" w:rsidRPr="007C740F">
        <w:rPr>
          <w:rFonts w:eastAsiaTheme="minorHAnsi"/>
          <w:lang w:val="en-US"/>
        </w:rPr>
        <w:t xml:space="preserve">; (b) </w:t>
      </w:r>
      <w:r w:rsidR="00D35EB7" w:rsidRPr="007C740F">
        <w:rPr>
          <w:rFonts w:eastAsiaTheme="minorHAnsi"/>
          <w:lang w:val="en-US"/>
        </w:rPr>
        <w:t xml:space="preserve">if parents limit </w:t>
      </w:r>
      <w:r w:rsidR="00C90305" w:rsidRPr="007C740F">
        <w:rPr>
          <w:rFonts w:eastAsiaTheme="minorHAnsi"/>
          <w:lang w:val="en-US"/>
        </w:rPr>
        <w:t xml:space="preserve">their </w:t>
      </w:r>
      <w:r w:rsidR="00D35EB7" w:rsidRPr="007C740F">
        <w:rPr>
          <w:rFonts w:eastAsiaTheme="minorHAnsi"/>
          <w:lang w:val="en-US"/>
        </w:rPr>
        <w:t>family after 2 unaffected children</w:t>
      </w:r>
      <w:r w:rsidR="003854E1" w:rsidRPr="007C740F">
        <w:rPr>
          <w:rFonts w:eastAsiaTheme="minorHAnsi"/>
          <w:lang w:val="en-US"/>
        </w:rPr>
        <w:t xml:space="preserve"> (blue)</w:t>
      </w:r>
      <w:r w:rsidR="00D35EB7" w:rsidRPr="007C740F">
        <w:rPr>
          <w:rFonts w:eastAsiaTheme="minorHAnsi"/>
          <w:lang w:val="en-US"/>
        </w:rPr>
        <w:t xml:space="preserve">, (b) if </w:t>
      </w:r>
      <w:r w:rsidR="00C90305" w:rsidRPr="007C740F">
        <w:rPr>
          <w:rFonts w:eastAsiaTheme="minorHAnsi"/>
          <w:lang w:val="en-US"/>
        </w:rPr>
        <w:t>parents</w:t>
      </w:r>
      <w:r w:rsidR="00D35EB7" w:rsidRPr="007C740F">
        <w:rPr>
          <w:rFonts w:eastAsiaTheme="minorHAnsi"/>
          <w:lang w:val="en-US"/>
        </w:rPr>
        <w:t xml:space="preserve"> stop after 1 affected child</w:t>
      </w:r>
      <w:r w:rsidR="003854E1" w:rsidRPr="007C740F">
        <w:rPr>
          <w:rFonts w:eastAsiaTheme="minorHAnsi"/>
          <w:lang w:val="en-US"/>
        </w:rPr>
        <w:t xml:space="preserve"> (yellow)</w:t>
      </w:r>
      <w:r w:rsidR="00D35EB7" w:rsidRPr="007C740F">
        <w:rPr>
          <w:rFonts w:eastAsiaTheme="minorHAnsi"/>
          <w:lang w:val="en-US"/>
        </w:rPr>
        <w:t xml:space="preserve">, (c) if they stop </w:t>
      </w:r>
      <w:r w:rsidR="00C90305" w:rsidRPr="007C740F">
        <w:rPr>
          <w:rFonts w:eastAsiaTheme="minorHAnsi"/>
          <w:lang w:val="en-US"/>
        </w:rPr>
        <w:t xml:space="preserve">completely </w:t>
      </w:r>
      <w:r w:rsidR="00D35EB7" w:rsidRPr="007C740F">
        <w:rPr>
          <w:rFonts w:eastAsiaTheme="minorHAnsi"/>
          <w:lang w:val="en-US"/>
        </w:rPr>
        <w:t>after diagnosis of the first affected</w:t>
      </w:r>
      <w:r w:rsidR="00557120" w:rsidRPr="007C740F">
        <w:rPr>
          <w:rFonts w:eastAsiaTheme="minorHAnsi"/>
          <w:lang w:val="en-US"/>
        </w:rPr>
        <w:t>,</w:t>
      </w:r>
      <w:r w:rsidR="00D35EB7" w:rsidRPr="007C740F">
        <w:rPr>
          <w:rFonts w:eastAsiaTheme="minorHAnsi"/>
          <w:lang w:val="en-US"/>
        </w:rPr>
        <w:t xml:space="preserve"> or use prenatal diagnosis to avoid further affected births</w:t>
      </w:r>
      <w:r w:rsidR="003854E1" w:rsidRPr="007C740F">
        <w:rPr>
          <w:rFonts w:eastAsiaTheme="minorHAnsi"/>
          <w:lang w:val="en-US"/>
        </w:rPr>
        <w:t xml:space="preserve"> (black)</w:t>
      </w:r>
      <w:r w:rsidRPr="007C740F">
        <w:rPr>
          <w:rFonts w:eastAsiaTheme="minorHAnsi"/>
          <w:lang w:val="en-US"/>
        </w:rPr>
        <w:t>.</w:t>
      </w:r>
      <w:r w:rsidR="00D35EB7" w:rsidRPr="007C740F">
        <w:t xml:space="preserve"> For details of the calculation see </w:t>
      </w:r>
      <w:r w:rsidR="00D35EB7" w:rsidRPr="007C740F">
        <w:rPr>
          <w:i/>
        </w:rPr>
        <w:t>Article 9. Haemoglobin disorders epidemiology</w:t>
      </w:r>
      <w:r w:rsidR="00D35EB7" w:rsidRPr="007C740F">
        <w:t>.</w:t>
      </w:r>
    </w:p>
    <w:p w14:paraId="2B5F440A" w14:textId="5B1E2BF6" w:rsidR="00FA3783" w:rsidRPr="007C740F" w:rsidRDefault="00C90305" w:rsidP="00F555B6">
      <w:pPr>
        <w:pStyle w:val="BodyText1"/>
        <w:jc w:val="both"/>
      </w:pPr>
      <w:r w:rsidRPr="007C740F">
        <w:t xml:space="preserve">The MGDb calculates potential maximum effect </w:t>
      </w:r>
      <w:r w:rsidR="003D730E" w:rsidRPr="007C740F">
        <w:t>in relation to</w:t>
      </w:r>
      <w:r w:rsidRPr="007C740F">
        <w:t xml:space="preserve"> local total fertility rate (TFR).</w:t>
      </w:r>
      <w:r w:rsidRPr="007C740F">
        <w:rPr>
          <w:rStyle w:val="FootnoteReference"/>
        </w:rPr>
        <w:footnoteReference w:id="22"/>
      </w:r>
      <w:r w:rsidRPr="007C740F">
        <w:t xml:space="preserve"> The figure shows that w</w:t>
      </w:r>
      <w:r w:rsidR="005A4339" w:rsidRPr="007C740F">
        <w:t>hen this is 2.5 or less</w:t>
      </w:r>
      <w:r w:rsidR="00E1489D" w:rsidRPr="007C740F">
        <w:t xml:space="preserve"> (</w:t>
      </w:r>
      <w:r w:rsidR="005A4339" w:rsidRPr="007C740F">
        <w:t xml:space="preserve">as </w:t>
      </w:r>
      <w:r w:rsidR="005C7321" w:rsidRPr="007C740F">
        <w:t xml:space="preserve">is </w:t>
      </w:r>
      <w:r w:rsidR="001C4CCB" w:rsidRPr="007C740F">
        <w:t xml:space="preserve">increasingly </w:t>
      </w:r>
      <w:r w:rsidR="005C7321" w:rsidRPr="007C740F">
        <w:t>the case</w:t>
      </w:r>
      <w:r w:rsidR="00E1489D" w:rsidRPr="007C740F">
        <w:t>)</w:t>
      </w:r>
      <w:r w:rsidR="005A4339" w:rsidRPr="007C740F">
        <w:t xml:space="preserve"> </w:t>
      </w:r>
      <w:r w:rsidR="00D35EB7" w:rsidRPr="007C740F">
        <w:t xml:space="preserve">retrospective risk detection </w:t>
      </w:r>
      <w:r w:rsidR="003D730E" w:rsidRPr="007C740F">
        <w:t>has</w:t>
      </w:r>
      <w:r w:rsidR="00D35EB7" w:rsidRPr="007C740F">
        <w:t xml:space="preserve"> </w:t>
      </w:r>
      <w:r w:rsidR="00E1489D" w:rsidRPr="007C740F">
        <w:t>relatively little</w:t>
      </w:r>
      <w:r w:rsidR="00A1475E" w:rsidRPr="007C740F">
        <w:t xml:space="preserve"> </w:t>
      </w:r>
      <w:r w:rsidR="005A4339" w:rsidRPr="007C740F">
        <w:t>effect</w:t>
      </w:r>
      <w:r w:rsidR="00D35EB7" w:rsidRPr="007C740F">
        <w:t xml:space="preserve"> on affected birth prevalence</w:t>
      </w:r>
      <w:r w:rsidR="007E56F2" w:rsidRPr="007C740F">
        <w:t xml:space="preserve">. </w:t>
      </w:r>
      <w:r w:rsidR="00825E8B" w:rsidRPr="007C740F">
        <w:t>R</w:t>
      </w:r>
      <w:r w:rsidR="00AD2999" w:rsidRPr="007C740F">
        <w:t>etrospective risk identification</w:t>
      </w:r>
      <w:r w:rsidR="00CE1D01" w:rsidRPr="007C740F">
        <w:t xml:space="preserve"> is potentially far more powerful </w:t>
      </w:r>
      <w:r w:rsidR="00825E8B" w:rsidRPr="007C740F">
        <w:t xml:space="preserve">in populations where </w:t>
      </w:r>
      <w:r w:rsidR="00557120" w:rsidRPr="007C740F">
        <w:t>parental consanguinity</w:t>
      </w:r>
      <w:r w:rsidR="009454B7" w:rsidRPr="007C740F">
        <w:t xml:space="preserve"> is common </w:t>
      </w:r>
      <w:r w:rsidR="00CE1D01" w:rsidRPr="007C740F">
        <w:t xml:space="preserve">because </w:t>
      </w:r>
      <w:r w:rsidR="00592D5A" w:rsidRPr="007C740F">
        <w:t xml:space="preserve">in this situation </w:t>
      </w:r>
      <w:r w:rsidR="009454B7" w:rsidRPr="007C740F">
        <w:t xml:space="preserve">extended family studies </w:t>
      </w:r>
      <w:r w:rsidR="00825E8B" w:rsidRPr="007C740F">
        <w:t xml:space="preserve">may </w:t>
      </w:r>
      <w:r w:rsidR="009454B7" w:rsidRPr="007C740F">
        <w:t xml:space="preserve">identify </w:t>
      </w:r>
      <w:r w:rsidR="001C4CCB" w:rsidRPr="007C740F">
        <w:t xml:space="preserve">other </w:t>
      </w:r>
      <w:r w:rsidR="009454B7" w:rsidRPr="007C740F">
        <w:t>at</w:t>
      </w:r>
      <w:r w:rsidR="00543D27" w:rsidRPr="007C740F">
        <w:t>-</w:t>
      </w:r>
      <w:r w:rsidR="009454B7" w:rsidRPr="007C740F">
        <w:t>risk couples prospectively</w:t>
      </w:r>
      <w:r w:rsidR="005A4339" w:rsidRPr="007C740F">
        <w:t>.</w:t>
      </w:r>
    </w:p>
    <w:p w14:paraId="00C1FC18" w14:textId="77777777" w:rsidR="009454B7" w:rsidRPr="007C740F" w:rsidRDefault="009454B7" w:rsidP="00CE1D01">
      <w:pPr>
        <w:pStyle w:val="Heading3"/>
      </w:pPr>
      <w:bookmarkStart w:id="27" w:name="_Toc193659678"/>
      <w:r w:rsidRPr="007C740F">
        <w:lastRenderedPageBreak/>
        <w:t>Prospective risk detection</w:t>
      </w:r>
      <w:bookmarkEnd w:id="27"/>
    </w:p>
    <w:p w14:paraId="1E12029A" w14:textId="248E08AF" w:rsidR="00A016DF" w:rsidRPr="007C740F" w:rsidRDefault="00C34C04" w:rsidP="00F555B6">
      <w:pPr>
        <w:pStyle w:val="BodyText1"/>
        <w:jc w:val="both"/>
      </w:pPr>
      <w:r w:rsidRPr="007C740F">
        <w:t>H</w:t>
      </w:r>
      <w:r w:rsidR="009454B7" w:rsidRPr="007C740F">
        <w:t>ae</w:t>
      </w:r>
      <w:r w:rsidRPr="007C740F">
        <w:t xml:space="preserve">moglobin disorders are typical recessive </w:t>
      </w:r>
      <w:r w:rsidR="006E63C2" w:rsidRPr="007C740F">
        <w:t xml:space="preserve">single gene </w:t>
      </w:r>
      <w:r w:rsidRPr="007C740F">
        <w:t>disorders</w:t>
      </w:r>
      <w:r w:rsidR="00825E8B" w:rsidRPr="007C740F">
        <w:t xml:space="preserve"> distinguished only by the fact that </w:t>
      </w:r>
      <w:r w:rsidRPr="007C740F">
        <w:t xml:space="preserve">they </w:t>
      </w:r>
      <w:r w:rsidR="009454B7" w:rsidRPr="007C740F">
        <w:t xml:space="preserve">are common, carriers can be identified prospectively by simple blood tests, </w:t>
      </w:r>
      <w:r w:rsidR="006754E1" w:rsidRPr="007C740F">
        <w:t xml:space="preserve">and </w:t>
      </w:r>
      <w:r w:rsidR="00825E8B" w:rsidRPr="007C740F">
        <w:t xml:space="preserve">informed </w:t>
      </w:r>
      <w:r w:rsidR="009454B7" w:rsidRPr="007C740F">
        <w:t xml:space="preserve">carrier couples </w:t>
      </w:r>
      <w:r w:rsidR="00825E8B" w:rsidRPr="007C740F">
        <w:t xml:space="preserve">often </w:t>
      </w:r>
      <w:r w:rsidR="009454B7" w:rsidRPr="007C740F">
        <w:t>take steps to minimise their risk</w:t>
      </w:r>
      <w:r w:rsidR="006754E1" w:rsidRPr="007C740F">
        <w:t xml:space="preserve">. </w:t>
      </w:r>
      <w:r w:rsidR="00CE1D01" w:rsidRPr="007C740F">
        <w:t>Therefore</w:t>
      </w:r>
      <w:r w:rsidR="00DC5BF2" w:rsidRPr="007C740F">
        <w:t>,</w:t>
      </w:r>
      <w:r w:rsidR="00CE1D01" w:rsidRPr="007C740F">
        <w:t xml:space="preserve"> p</w:t>
      </w:r>
      <w:r w:rsidR="009454B7" w:rsidRPr="007C740F">
        <w:t>opulation screening and genetic counselling are cost-effective and widely practised</w:t>
      </w:r>
      <w:r w:rsidR="00D05B98" w:rsidRPr="007C740F">
        <w:t xml:space="preserve">. Since </w:t>
      </w:r>
      <w:r w:rsidR="00CE1D01" w:rsidRPr="007C740F">
        <w:t>good surveillance data exist</w:t>
      </w:r>
      <w:r w:rsidR="00557120" w:rsidRPr="007C740F">
        <w:t>,</w:t>
      </w:r>
      <w:r w:rsidR="00D05B98" w:rsidRPr="007C740F">
        <w:t xml:space="preserve"> the</w:t>
      </w:r>
      <w:r w:rsidR="00592D5A" w:rsidRPr="007C740F">
        <w:t xml:space="preserve"> haemoglobin disorders </w:t>
      </w:r>
      <w:r w:rsidR="00D05B98" w:rsidRPr="007C740F">
        <w:t xml:space="preserve">now </w:t>
      </w:r>
      <w:r w:rsidR="009454B7" w:rsidRPr="007C740F">
        <w:t xml:space="preserve">provide a model for predicting the potential future effect of DNA-based carrier detection for </w:t>
      </w:r>
      <w:r w:rsidR="00D05B98" w:rsidRPr="007C740F">
        <w:t xml:space="preserve">the full </w:t>
      </w:r>
      <w:r w:rsidR="009454B7" w:rsidRPr="007C740F">
        <w:t>range of rare single gene disorders.</w:t>
      </w:r>
      <w:r w:rsidR="006F669E" w:rsidRPr="007C740F">
        <w:t xml:space="preserve"> </w:t>
      </w:r>
    </w:p>
    <w:p w14:paraId="2CF0CAA2" w14:textId="4FC09344" w:rsidR="009454B7" w:rsidRPr="007C740F" w:rsidRDefault="006F669E" w:rsidP="00F555B6">
      <w:pPr>
        <w:pStyle w:val="BodyText1"/>
        <w:jc w:val="both"/>
      </w:pPr>
      <w:r w:rsidRPr="007C740F">
        <w:t xml:space="preserve">Figure </w:t>
      </w:r>
      <w:r w:rsidR="00DE3082" w:rsidRPr="007C740F">
        <w:t>9</w:t>
      </w:r>
      <w:r w:rsidRPr="007C740F">
        <w:t xml:space="preserve"> shows how </w:t>
      </w:r>
      <w:r w:rsidR="000B2F17" w:rsidRPr="007C740F">
        <w:t>prospective detection and genetic counselling</w:t>
      </w:r>
      <w:r w:rsidRPr="007C740F">
        <w:t xml:space="preserve"> </w:t>
      </w:r>
      <w:r w:rsidR="00557120" w:rsidRPr="007C740F">
        <w:t xml:space="preserve">for reproductive risk of severe single gene disorders </w:t>
      </w:r>
      <w:r w:rsidRPr="007C740F">
        <w:t xml:space="preserve">could transform </w:t>
      </w:r>
      <w:r w:rsidR="000B2F17" w:rsidRPr="007C740F">
        <w:t xml:space="preserve">outcomes </w:t>
      </w:r>
      <w:r w:rsidRPr="007C740F">
        <w:t>at the public health level.</w:t>
      </w:r>
      <w:r w:rsidR="00654B27" w:rsidRPr="007C740F">
        <w:t xml:space="preserve"> For details of the calculation see </w:t>
      </w:r>
      <w:r w:rsidR="00654B27" w:rsidRPr="007C740F">
        <w:rPr>
          <w:i/>
        </w:rPr>
        <w:t>Article 9. Haemoglobin disorders: epidemiology</w:t>
      </w:r>
      <w:r w:rsidR="00654B27" w:rsidRPr="007C740F">
        <w:t>.</w:t>
      </w:r>
    </w:p>
    <w:p w14:paraId="503FEE88" w14:textId="31AD902C" w:rsidR="006F669E" w:rsidRPr="007C740F" w:rsidRDefault="006F669E" w:rsidP="006F669E">
      <w:pPr>
        <w:pStyle w:val="BodyText1"/>
        <w:jc w:val="center"/>
      </w:pPr>
      <w:r w:rsidRPr="007C740F">
        <w:rPr>
          <w:noProof/>
          <w:lang w:eastAsia="en-GB"/>
        </w:rPr>
        <w:drawing>
          <wp:inline distT="0" distB="0" distL="0" distR="0" wp14:anchorId="3A275572" wp14:editId="04A8F773">
            <wp:extent cx="4309607" cy="2237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2200" cy="2249411"/>
                    </a:xfrm>
                    <a:prstGeom prst="rect">
                      <a:avLst/>
                    </a:prstGeom>
                    <a:noFill/>
                  </pic:spPr>
                </pic:pic>
              </a:graphicData>
            </a:graphic>
          </wp:inline>
        </w:drawing>
      </w:r>
    </w:p>
    <w:p w14:paraId="3FAEB00C" w14:textId="3B4FD702" w:rsidR="006F669E" w:rsidRPr="007C740F" w:rsidRDefault="006D7ABE" w:rsidP="00F555B6">
      <w:pPr>
        <w:pStyle w:val="Figurelegend"/>
        <w:jc w:val="both"/>
      </w:pPr>
      <w:r w:rsidRPr="007C740F">
        <w:t xml:space="preserve">Figure </w:t>
      </w:r>
      <w:r w:rsidR="00DE3082" w:rsidRPr="007C740F">
        <w:t>9</w:t>
      </w:r>
      <w:r w:rsidRPr="007C740F">
        <w:t>.</w:t>
      </w:r>
      <w:r w:rsidRPr="007C740F">
        <w:rPr>
          <w:rFonts w:eastAsiaTheme="minorHAnsi"/>
        </w:rPr>
        <w:t xml:space="preserve"> </w:t>
      </w:r>
      <w:r w:rsidR="00A016DF" w:rsidRPr="007C740F">
        <w:rPr>
          <w:rFonts w:eastAsiaTheme="minorHAnsi"/>
        </w:rPr>
        <w:t>Theoretical calculation of the m</w:t>
      </w:r>
      <w:r w:rsidRPr="007C740F">
        <w:rPr>
          <w:rFonts w:eastAsiaTheme="minorHAnsi"/>
        </w:rPr>
        <w:t xml:space="preserve">aximum possible effect of </w:t>
      </w:r>
      <w:r w:rsidRPr="007C740F">
        <w:rPr>
          <w:rFonts w:eastAsiaTheme="minorHAnsi"/>
          <w:i/>
          <w:iCs/>
        </w:rPr>
        <w:t>prospective</w:t>
      </w:r>
      <w:r w:rsidRPr="007C740F">
        <w:rPr>
          <w:rFonts w:eastAsiaTheme="minorHAnsi"/>
        </w:rPr>
        <w:t xml:space="preserve"> genetic risk detection and counselling on birth prevalence of severe recessive disorder</w:t>
      </w:r>
      <w:r w:rsidR="00557120" w:rsidRPr="007C740F">
        <w:rPr>
          <w:rFonts w:eastAsiaTheme="minorHAnsi"/>
        </w:rPr>
        <w:t>s</w:t>
      </w:r>
      <w:r w:rsidR="00654B27" w:rsidRPr="007C740F">
        <w:rPr>
          <w:rFonts w:eastAsiaTheme="minorHAnsi"/>
        </w:rPr>
        <w:t xml:space="preserve">. The statistical effect depends on </w:t>
      </w:r>
      <w:r w:rsidR="003D730E" w:rsidRPr="007C740F">
        <w:rPr>
          <w:rFonts w:eastAsiaTheme="minorHAnsi"/>
        </w:rPr>
        <w:t xml:space="preserve">the population average for final family size. </w:t>
      </w:r>
      <w:r w:rsidR="00ED49CB" w:rsidRPr="007C740F">
        <w:rPr>
          <w:rFonts w:eastAsiaTheme="minorHAnsi"/>
        </w:rPr>
        <w:t>I</w:t>
      </w:r>
      <w:r w:rsidR="000B2F17" w:rsidRPr="007C740F">
        <w:rPr>
          <w:rFonts w:eastAsiaTheme="minorHAnsi"/>
        </w:rPr>
        <w:t>f</w:t>
      </w:r>
      <w:r w:rsidR="00ED49CB" w:rsidRPr="007C740F">
        <w:rPr>
          <w:rFonts w:eastAsiaTheme="minorHAnsi"/>
        </w:rPr>
        <w:t xml:space="preserve"> </w:t>
      </w:r>
      <w:r w:rsidR="003D730E" w:rsidRPr="007C740F">
        <w:rPr>
          <w:rFonts w:eastAsiaTheme="minorHAnsi"/>
        </w:rPr>
        <w:t xml:space="preserve">all </w:t>
      </w:r>
      <w:r w:rsidR="00F24A6F" w:rsidRPr="007C740F">
        <w:rPr>
          <w:rFonts w:eastAsiaTheme="minorHAnsi"/>
        </w:rPr>
        <w:t xml:space="preserve">detected </w:t>
      </w:r>
      <w:r w:rsidR="003D730E" w:rsidRPr="007C740F">
        <w:rPr>
          <w:rFonts w:eastAsiaTheme="minorHAnsi"/>
        </w:rPr>
        <w:t xml:space="preserve">at risk couples </w:t>
      </w:r>
      <w:r w:rsidR="00ED49CB" w:rsidRPr="007C740F">
        <w:rPr>
          <w:rFonts w:eastAsiaTheme="minorHAnsi"/>
        </w:rPr>
        <w:t xml:space="preserve">decided to separate, or remain childless, or use prenatal diagnosis </w:t>
      </w:r>
      <w:r w:rsidR="00F24A6F" w:rsidRPr="007C740F">
        <w:rPr>
          <w:rFonts w:eastAsiaTheme="minorHAnsi"/>
        </w:rPr>
        <w:t xml:space="preserve">and </w:t>
      </w:r>
      <w:r w:rsidR="00ED49CB" w:rsidRPr="007C740F">
        <w:rPr>
          <w:rFonts w:eastAsiaTheme="minorHAnsi"/>
        </w:rPr>
        <w:t>termination of pregnancy to ensure a disease-free family</w:t>
      </w:r>
      <w:r w:rsidR="00F24A6F" w:rsidRPr="007C740F">
        <w:rPr>
          <w:rFonts w:eastAsiaTheme="minorHAnsi"/>
        </w:rPr>
        <w:t>,</w:t>
      </w:r>
      <w:r w:rsidR="00ED49CB" w:rsidRPr="007C740F">
        <w:rPr>
          <w:rFonts w:eastAsiaTheme="minorHAnsi"/>
        </w:rPr>
        <w:t xml:space="preserve"> affected birth prevalence </w:t>
      </w:r>
      <w:r w:rsidR="00F24A6F" w:rsidRPr="007C740F">
        <w:rPr>
          <w:rFonts w:eastAsiaTheme="minorHAnsi"/>
        </w:rPr>
        <w:t>c</w:t>
      </w:r>
      <w:r w:rsidR="00ED49CB" w:rsidRPr="007C740F">
        <w:rPr>
          <w:rFonts w:eastAsiaTheme="minorHAnsi"/>
        </w:rPr>
        <w:t xml:space="preserve">ould fall to near zero. </w:t>
      </w:r>
      <w:r w:rsidR="00F24A6F" w:rsidRPr="007C740F">
        <w:rPr>
          <w:rFonts w:eastAsiaTheme="minorHAnsi"/>
        </w:rPr>
        <w:t xml:space="preserve">When the </w:t>
      </w:r>
      <w:r w:rsidR="00ED49CB" w:rsidRPr="007C740F">
        <w:rPr>
          <w:rFonts w:eastAsiaTheme="minorHAnsi"/>
        </w:rPr>
        <w:t xml:space="preserve">option of termination </w:t>
      </w:r>
      <w:r w:rsidR="00F24A6F" w:rsidRPr="007C740F">
        <w:rPr>
          <w:rFonts w:eastAsiaTheme="minorHAnsi"/>
        </w:rPr>
        <w:t xml:space="preserve">of pregnancy </w:t>
      </w:r>
      <w:r w:rsidR="00ED49CB" w:rsidRPr="007C740F">
        <w:rPr>
          <w:rFonts w:eastAsiaTheme="minorHAnsi"/>
        </w:rPr>
        <w:t>is not available</w:t>
      </w:r>
      <w:r w:rsidR="00F24A6F" w:rsidRPr="007C740F">
        <w:rPr>
          <w:rFonts w:eastAsiaTheme="minorHAnsi"/>
        </w:rPr>
        <w:t xml:space="preserve"> </w:t>
      </w:r>
      <w:r w:rsidR="00DF5E88" w:rsidRPr="007C740F">
        <w:rPr>
          <w:rFonts w:eastAsiaTheme="minorHAnsi"/>
        </w:rPr>
        <w:t xml:space="preserve">informed </w:t>
      </w:r>
      <w:r w:rsidR="00ED49CB" w:rsidRPr="007C740F">
        <w:rPr>
          <w:rFonts w:eastAsiaTheme="minorHAnsi"/>
        </w:rPr>
        <w:t xml:space="preserve">couples tend to limit final family size </w:t>
      </w:r>
      <w:r w:rsidR="00557120" w:rsidRPr="007C740F">
        <w:rPr>
          <w:rFonts w:eastAsiaTheme="minorHAnsi"/>
        </w:rPr>
        <w:t>once</w:t>
      </w:r>
      <w:r w:rsidR="00DF5E88" w:rsidRPr="007C740F">
        <w:rPr>
          <w:rFonts w:eastAsiaTheme="minorHAnsi"/>
        </w:rPr>
        <w:t xml:space="preserve"> </w:t>
      </w:r>
      <w:r w:rsidR="00ED49CB" w:rsidRPr="007C740F">
        <w:rPr>
          <w:rFonts w:eastAsiaTheme="minorHAnsi"/>
        </w:rPr>
        <w:t xml:space="preserve">they have one or two unaffected children. The middle curves show the </w:t>
      </w:r>
      <w:r w:rsidR="00654B27" w:rsidRPr="007C740F">
        <w:rPr>
          <w:rFonts w:eastAsiaTheme="minorHAnsi"/>
        </w:rPr>
        <w:t xml:space="preserve">maximum possible </w:t>
      </w:r>
      <w:r w:rsidR="00ED49CB" w:rsidRPr="007C740F">
        <w:rPr>
          <w:rFonts w:eastAsiaTheme="minorHAnsi"/>
        </w:rPr>
        <w:t xml:space="preserve">effects of </w:t>
      </w:r>
      <w:r w:rsidR="00654B27" w:rsidRPr="007C740F">
        <w:rPr>
          <w:rFonts w:eastAsiaTheme="minorHAnsi"/>
        </w:rPr>
        <w:t>such</w:t>
      </w:r>
      <w:r w:rsidR="00ED49CB" w:rsidRPr="007C740F">
        <w:rPr>
          <w:rFonts w:eastAsiaTheme="minorHAnsi"/>
        </w:rPr>
        <w:t xml:space="preserve"> behaviour. </w:t>
      </w:r>
      <w:r w:rsidR="00654B27" w:rsidRPr="007C740F">
        <w:rPr>
          <w:rFonts w:eastAsiaTheme="minorHAnsi"/>
        </w:rPr>
        <w:t xml:space="preserve">There may be a marked effect when average final family size is large, but when it </w:t>
      </w:r>
      <w:r w:rsidR="00BB5EEE" w:rsidRPr="007C740F">
        <w:rPr>
          <w:rFonts w:eastAsiaTheme="minorHAnsi"/>
        </w:rPr>
        <w:t>is less than 3 prospective risk detection has relatively little effect</w:t>
      </w:r>
      <w:r w:rsidR="00654B27" w:rsidRPr="007C740F">
        <w:rPr>
          <w:rFonts w:eastAsiaTheme="minorHAnsi"/>
        </w:rPr>
        <w:t xml:space="preserve"> on affected birth prevalence.</w:t>
      </w:r>
      <w:r w:rsidR="00BB5EEE" w:rsidRPr="007C740F">
        <w:rPr>
          <w:rFonts w:eastAsiaTheme="minorHAnsi"/>
        </w:rPr>
        <w:t xml:space="preserve"> </w:t>
      </w:r>
    </w:p>
    <w:p w14:paraId="2C9A7F3F" w14:textId="77777777" w:rsidR="00FA3783" w:rsidRPr="007C740F" w:rsidRDefault="00FA3783" w:rsidP="00BF4385">
      <w:pPr>
        <w:pStyle w:val="Heading2"/>
      </w:pPr>
      <w:bookmarkStart w:id="28" w:name="_Toc193659679"/>
      <w:r w:rsidRPr="007C740F">
        <w:t>Termination of pregnancy for fetal impairment</w:t>
      </w:r>
      <w:bookmarkEnd w:id="28"/>
    </w:p>
    <w:p w14:paraId="3656ED25" w14:textId="52B008E2" w:rsidR="00497D57" w:rsidRPr="007C740F" w:rsidRDefault="006E63C2" w:rsidP="00F555B6">
      <w:pPr>
        <w:pStyle w:val="BodyText1"/>
        <w:jc w:val="both"/>
      </w:pPr>
      <w:r w:rsidRPr="007C740F">
        <w:t>EUROCAT and ICBDSR report rates for termination of pregnancy</w:t>
      </w:r>
      <w:r w:rsidR="00951AB7" w:rsidRPr="007C740F">
        <w:t xml:space="preserve"> by </w:t>
      </w:r>
      <w:r w:rsidR="004D313F" w:rsidRPr="007C740F">
        <w:t xml:space="preserve">country, year and </w:t>
      </w:r>
      <w:r w:rsidR="00951AB7" w:rsidRPr="007C740F">
        <w:t>disorder group.</w:t>
      </w:r>
    </w:p>
    <w:p w14:paraId="3504DBD3" w14:textId="7C41B649" w:rsidR="005E07ED" w:rsidRPr="007C740F" w:rsidRDefault="005E07ED" w:rsidP="00F555B6">
      <w:pPr>
        <w:pStyle w:val="BodyText1"/>
        <w:jc w:val="both"/>
      </w:pPr>
      <w:r w:rsidRPr="007C740F">
        <w:t xml:space="preserve">Table </w:t>
      </w:r>
      <w:r w:rsidR="008B0B70" w:rsidRPr="007C740F">
        <w:t>8</w:t>
      </w:r>
      <w:r w:rsidR="001D57C9" w:rsidRPr="007C740F">
        <w:t xml:space="preserve"> shows the evolution of termination of pregnancy in Western Europe disorder group</w:t>
      </w:r>
      <w:r w:rsidR="005C600D" w:rsidRPr="007C740F">
        <w:t>, based on EUROCAT data</w:t>
      </w:r>
      <w:r w:rsidR="001D57C9" w:rsidRPr="007C740F">
        <w:t xml:space="preserve">. </w:t>
      </w:r>
      <w:r w:rsidR="005C600D" w:rsidRPr="007C740F">
        <w:t>R</w:t>
      </w:r>
      <w:r w:rsidR="001D57C9" w:rsidRPr="007C740F">
        <w:t xml:space="preserve">ates rose rapidly from </w:t>
      </w:r>
      <w:r w:rsidR="005C600D" w:rsidRPr="007C740F">
        <w:t>1980 to 2012:  C</w:t>
      </w:r>
      <w:r w:rsidRPr="007C740F">
        <w:t xml:space="preserve">urrent EUROCAT </w:t>
      </w:r>
      <w:r w:rsidR="005C600D" w:rsidRPr="007C740F">
        <w:t xml:space="preserve">data </w:t>
      </w:r>
      <w:r w:rsidRPr="007C740F">
        <w:t>indicate that they</w:t>
      </w:r>
      <w:r w:rsidR="001D57C9" w:rsidRPr="007C740F">
        <w:t xml:space="preserve"> have </w:t>
      </w:r>
      <w:r w:rsidRPr="007C740F">
        <w:t xml:space="preserve">since </w:t>
      </w:r>
      <w:r w:rsidR="001D57C9" w:rsidRPr="007C740F">
        <w:t>remained relatively stable</w:t>
      </w:r>
      <w:r w:rsidR="005C600D" w:rsidRPr="007C740F">
        <w:t xml:space="preserve"> </w:t>
      </w:r>
      <w:r w:rsidR="00497D57" w:rsidRPr="007C740F">
        <w:t>. Rate</w:t>
      </w:r>
      <w:r w:rsidR="00DE3082" w:rsidRPr="007C740F">
        <w:t>s</w:t>
      </w:r>
      <w:r w:rsidR="00497D57" w:rsidRPr="007C740F">
        <w:t xml:space="preserve"> are very high for severe incurable disorders, but </w:t>
      </w:r>
      <w:r w:rsidRPr="007C740F">
        <w:t>much lower</w:t>
      </w:r>
      <w:r w:rsidR="00497D57" w:rsidRPr="007C740F">
        <w:t xml:space="preserve"> for </w:t>
      </w:r>
      <w:r w:rsidR="005C600D" w:rsidRPr="007C740F">
        <w:t xml:space="preserve">curable </w:t>
      </w:r>
      <w:r w:rsidR="00497D57" w:rsidRPr="007C740F">
        <w:t>congenital malformations.</w:t>
      </w:r>
    </w:p>
    <w:p w14:paraId="19CA6ECA" w14:textId="02A72EA7" w:rsidR="00043EEC" w:rsidRPr="007C740F" w:rsidRDefault="00043EEC" w:rsidP="00F555B6">
      <w:pPr>
        <w:pStyle w:val="BodyText1"/>
        <w:jc w:val="both"/>
      </w:pPr>
      <w:r w:rsidRPr="007C740F">
        <w:t>Where termination of pregnancy for fetal impairment is not legal most pregnancies that would otherwise be terminated end in fetal death, under-5 death or life-long disability.</w:t>
      </w:r>
    </w:p>
    <w:p w14:paraId="4023D9E1" w14:textId="77777777" w:rsidR="00C77ECD" w:rsidRPr="007C740F" w:rsidRDefault="00C77ECD">
      <w:pPr>
        <w:rPr>
          <w:rFonts w:ascii="Arial" w:hAnsi="Arial"/>
          <w:sz w:val="20"/>
        </w:rPr>
      </w:pPr>
      <w:r w:rsidRPr="007C740F">
        <w:br w:type="page"/>
      </w:r>
    </w:p>
    <w:p w14:paraId="785E37A1" w14:textId="0E93334D" w:rsidR="005E07ED" w:rsidRPr="007C740F" w:rsidRDefault="005E07ED" w:rsidP="00A0215E">
      <w:pPr>
        <w:pStyle w:val="Tableheader"/>
      </w:pPr>
      <w:r w:rsidRPr="007C740F">
        <w:lastRenderedPageBreak/>
        <w:t xml:space="preserve">Table </w:t>
      </w:r>
      <w:r w:rsidR="008B0B70" w:rsidRPr="007C740F">
        <w:t>8</w:t>
      </w:r>
      <w:r w:rsidRPr="007C740F">
        <w:t xml:space="preserve">. Evolution of </w:t>
      </w:r>
      <w:r w:rsidR="00557120" w:rsidRPr="007C740F">
        <w:t>termination of pregnancy</w:t>
      </w:r>
      <w:r w:rsidRPr="007C740F">
        <w:t xml:space="preserve"> for chromosomal disorders and isolated congenital malf</w:t>
      </w:r>
      <w:r w:rsidR="005C600D" w:rsidRPr="007C740F">
        <w:t>ormations</w:t>
      </w:r>
      <w:r w:rsidRPr="007C740F">
        <w:t xml:space="preserve">, based on EUROCAT </w:t>
      </w:r>
      <w:r w:rsidR="005C600D" w:rsidRPr="007C740F">
        <w:t>2015 data</w:t>
      </w:r>
      <w:r w:rsidR="00557120" w:rsidRPr="007C740F">
        <w:t>.</w:t>
      </w:r>
    </w:p>
    <w:tbl>
      <w:tblPr>
        <w:tblW w:w="7480" w:type="dxa"/>
        <w:jc w:val="center"/>
        <w:tblLook w:val="04A0" w:firstRow="1" w:lastRow="0" w:firstColumn="1" w:lastColumn="0" w:noHBand="0" w:noVBand="1"/>
      </w:tblPr>
      <w:tblGrid>
        <w:gridCol w:w="1292"/>
        <w:gridCol w:w="1900"/>
        <w:gridCol w:w="639"/>
        <w:gridCol w:w="639"/>
        <w:gridCol w:w="639"/>
        <w:gridCol w:w="639"/>
        <w:gridCol w:w="639"/>
        <w:gridCol w:w="639"/>
        <w:gridCol w:w="639"/>
      </w:tblGrid>
      <w:tr w:rsidR="005E07ED" w:rsidRPr="007C740F" w14:paraId="090D884E" w14:textId="77777777" w:rsidTr="00557120">
        <w:trPr>
          <w:trHeight w:val="284"/>
          <w:jc w:val="center"/>
        </w:trPr>
        <w:tc>
          <w:tcPr>
            <w:tcW w:w="1107" w:type="dxa"/>
            <w:tcBorders>
              <w:top w:val="single" w:sz="4" w:space="0" w:color="auto"/>
              <w:left w:val="single" w:sz="4" w:space="0" w:color="auto"/>
              <w:bottom w:val="nil"/>
              <w:right w:val="single" w:sz="4" w:space="0" w:color="auto"/>
            </w:tcBorders>
            <w:shd w:val="clear" w:color="auto" w:fill="auto"/>
            <w:vAlign w:val="center"/>
            <w:hideMark/>
          </w:tcPr>
          <w:p w14:paraId="3CFB0A8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Main group</w:t>
            </w:r>
          </w:p>
        </w:tc>
        <w:tc>
          <w:tcPr>
            <w:tcW w:w="1900" w:type="dxa"/>
            <w:tcBorders>
              <w:top w:val="single" w:sz="4" w:space="0" w:color="auto"/>
              <w:left w:val="nil"/>
              <w:bottom w:val="single" w:sz="4" w:space="0" w:color="auto"/>
              <w:right w:val="nil"/>
            </w:tcBorders>
            <w:shd w:val="clear" w:color="auto" w:fill="auto"/>
            <w:noWrap/>
            <w:vAlign w:val="center"/>
            <w:hideMark/>
          </w:tcPr>
          <w:p w14:paraId="05D093E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Disorder group</w:t>
            </w:r>
          </w:p>
        </w:tc>
        <w:tc>
          <w:tcPr>
            <w:tcW w:w="639" w:type="dxa"/>
            <w:tcBorders>
              <w:top w:val="single" w:sz="4" w:space="0" w:color="auto"/>
              <w:left w:val="single" w:sz="4" w:space="0" w:color="auto"/>
              <w:bottom w:val="single" w:sz="4" w:space="0" w:color="auto"/>
              <w:right w:val="nil"/>
            </w:tcBorders>
            <w:shd w:val="clear" w:color="auto" w:fill="auto"/>
            <w:vAlign w:val="center"/>
            <w:hideMark/>
          </w:tcPr>
          <w:p w14:paraId="2DC7904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1980-84</w:t>
            </w:r>
          </w:p>
        </w:tc>
        <w:tc>
          <w:tcPr>
            <w:tcW w:w="639" w:type="dxa"/>
            <w:tcBorders>
              <w:top w:val="single" w:sz="4" w:space="0" w:color="auto"/>
              <w:left w:val="nil"/>
              <w:bottom w:val="single" w:sz="4" w:space="0" w:color="auto"/>
              <w:right w:val="nil"/>
            </w:tcBorders>
            <w:shd w:val="clear" w:color="auto" w:fill="auto"/>
            <w:vAlign w:val="center"/>
            <w:hideMark/>
          </w:tcPr>
          <w:p w14:paraId="5BF637C6"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1985-89</w:t>
            </w:r>
          </w:p>
        </w:tc>
        <w:tc>
          <w:tcPr>
            <w:tcW w:w="639" w:type="dxa"/>
            <w:tcBorders>
              <w:top w:val="single" w:sz="4" w:space="0" w:color="auto"/>
              <w:left w:val="nil"/>
              <w:bottom w:val="single" w:sz="4" w:space="0" w:color="auto"/>
              <w:right w:val="nil"/>
            </w:tcBorders>
            <w:shd w:val="clear" w:color="auto" w:fill="auto"/>
            <w:vAlign w:val="center"/>
            <w:hideMark/>
          </w:tcPr>
          <w:p w14:paraId="0FC6942E"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1990-94</w:t>
            </w:r>
          </w:p>
        </w:tc>
        <w:tc>
          <w:tcPr>
            <w:tcW w:w="639" w:type="dxa"/>
            <w:tcBorders>
              <w:top w:val="single" w:sz="4" w:space="0" w:color="auto"/>
              <w:left w:val="nil"/>
              <w:bottom w:val="single" w:sz="4" w:space="0" w:color="auto"/>
              <w:right w:val="nil"/>
            </w:tcBorders>
            <w:shd w:val="clear" w:color="auto" w:fill="auto"/>
            <w:vAlign w:val="center"/>
            <w:hideMark/>
          </w:tcPr>
          <w:p w14:paraId="502F55BE"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1995-99</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42F93A3B"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2000-04</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6E3BCBF6"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2005-09</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070C971B"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2010-12</w:t>
            </w:r>
          </w:p>
        </w:tc>
      </w:tr>
      <w:tr w:rsidR="005E07ED" w:rsidRPr="007C740F" w14:paraId="06DF6C4F" w14:textId="77777777" w:rsidTr="00A0215E">
        <w:trPr>
          <w:trHeight w:val="300"/>
          <w:jc w:val="center"/>
        </w:trPr>
        <w:tc>
          <w:tcPr>
            <w:tcW w:w="11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32D33A"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Congenital malformations</w:t>
            </w:r>
          </w:p>
        </w:tc>
        <w:tc>
          <w:tcPr>
            <w:tcW w:w="1900" w:type="dxa"/>
            <w:tcBorders>
              <w:top w:val="nil"/>
              <w:left w:val="nil"/>
              <w:bottom w:val="nil"/>
              <w:right w:val="nil"/>
            </w:tcBorders>
            <w:shd w:val="clear" w:color="auto" w:fill="auto"/>
            <w:noWrap/>
            <w:vAlign w:val="bottom"/>
            <w:hideMark/>
          </w:tcPr>
          <w:p w14:paraId="23DE4F6F"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Anencephaly</w:t>
            </w:r>
          </w:p>
        </w:tc>
        <w:tc>
          <w:tcPr>
            <w:tcW w:w="639" w:type="dxa"/>
            <w:tcBorders>
              <w:top w:val="nil"/>
              <w:left w:val="single" w:sz="4" w:space="0" w:color="auto"/>
              <w:bottom w:val="nil"/>
              <w:right w:val="nil"/>
            </w:tcBorders>
            <w:shd w:val="clear" w:color="auto" w:fill="auto"/>
            <w:noWrap/>
            <w:vAlign w:val="bottom"/>
            <w:hideMark/>
          </w:tcPr>
          <w:p w14:paraId="229A165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32.9</w:t>
            </w:r>
          </w:p>
        </w:tc>
        <w:tc>
          <w:tcPr>
            <w:tcW w:w="639" w:type="dxa"/>
            <w:tcBorders>
              <w:top w:val="nil"/>
              <w:left w:val="nil"/>
              <w:bottom w:val="nil"/>
              <w:right w:val="nil"/>
            </w:tcBorders>
            <w:shd w:val="clear" w:color="auto" w:fill="auto"/>
            <w:noWrap/>
            <w:vAlign w:val="bottom"/>
            <w:hideMark/>
          </w:tcPr>
          <w:p w14:paraId="0C58BAB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61.2</w:t>
            </w:r>
          </w:p>
        </w:tc>
        <w:tc>
          <w:tcPr>
            <w:tcW w:w="639" w:type="dxa"/>
            <w:tcBorders>
              <w:top w:val="nil"/>
              <w:left w:val="nil"/>
              <w:bottom w:val="nil"/>
              <w:right w:val="nil"/>
            </w:tcBorders>
            <w:shd w:val="clear" w:color="auto" w:fill="auto"/>
            <w:noWrap/>
            <w:vAlign w:val="bottom"/>
            <w:hideMark/>
          </w:tcPr>
          <w:p w14:paraId="4300AD0B"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81.5</w:t>
            </w:r>
          </w:p>
        </w:tc>
        <w:tc>
          <w:tcPr>
            <w:tcW w:w="639" w:type="dxa"/>
            <w:tcBorders>
              <w:top w:val="nil"/>
              <w:left w:val="nil"/>
              <w:bottom w:val="nil"/>
              <w:right w:val="nil"/>
            </w:tcBorders>
            <w:shd w:val="clear" w:color="auto" w:fill="auto"/>
            <w:noWrap/>
            <w:vAlign w:val="bottom"/>
            <w:hideMark/>
          </w:tcPr>
          <w:p w14:paraId="0BFB444F"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82.5</w:t>
            </w:r>
          </w:p>
        </w:tc>
        <w:tc>
          <w:tcPr>
            <w:tcW w:w="639" w:type="dxa"/>
            <w:tcBorders>
              <w:top w:val="nil"/>
              <w:left w:val="nil"/>
              <w:bottom w:val="nil"/>
              <w:right w:val="single" w:sz="4" w:space="0" w:color="auto"/>
            </w:tcBorders>
            <w:shd w:val="clear" w:color="auto" w:fill="auto"/>
            <w:noWrap/>
            <w:vAlign w:val="bottom"/>
            <w:hideMark/>
          </w:tcPr>
          <w:p w14:paraId="41783ED9"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87.0</w:t>
            </w:r>
          </w:p>
        </w:tc>
        <w:tc>
          <w:tcPr>
            <w:tcW w:w="639" w:type="dxa"/>
            <w:tcBorders>
              <w:top w:val="nil"/>
              <w:left w:val="nil"/>
              <w:bottom w:val="nil"/>
              <w:right w:val="single" w:sz="4" w:space="0" w:color="auto"/>
            </w:tcBorders>
            <w:shd w:val="clear" w:color="auto" w:fill="auto"/>
            <w:noWrap/>
            <w:vAlign w:val="bottom"/>
            <w:hideMark/>
          </w:tcPr>
          <w:p w14:paraId="3D0FF4DB"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91.5</w:t>
            </w:r>
          </w:p>
        </w:tc>
        <w:tc>
          <w:tcPr>
            <w:tcW w:w="639" w:type="dxa"/>
            <w:tcBorders>
              <w:top w:val="nil"/>
              <w:left w:val="nil"/>
              <w:bottom w:val="nil"/>
              <w:right w:val="single" w:sz="4" w:space="0" w:color="auto"/>
            </w:tcBorders>
            <w:shd w:val="clear" w:color="auto" w:fill="auto"/>
            <w:noWrap/>
            <w:vAlign w:val="bottom"/>
            <w:hideMark/>
          </w:tcPr>
          <w:p w14:paraId="28315039"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85.0</w:t>
            </w:r>
          </w:p>
        </w:tc>
      </w:tr>
      <w:tr w:rsidR="005E07ED" w:rsidRPr="007C740F" w14:paraId="12359A45" w14:textId="77777777" w:rsidTr="00A0215E">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444ABEC2"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0284EAD4"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Spina bif &amp; e'cele</w:t>
            </w:r>
          </w:p>
        </w:tc>
        <w:tc>
          <w:tcPr>
            <w:tcW w:w="639" w:type="dxa"/>
            <w:tcBorders>
              <w:top w:val="nil"/>
              <w:left w:val="single" w:sz="4" w:space="0" w:color="auto"/>
              <w:bottom w:val="nil"/>
              <w:right w:val="nil"/>
            </w:tcBorders>
            <w:shd w:val="clear" w:color="auto" w:fill="auto"/>
            <w:noWrap/>
            <w:vAlign w:val="bottom"/>
            <w:hideMark/>
          </w:tcPr>
          <w:p w14:paraId="40316C08"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w:t>
            </w:r>
          </w:p>
        </w:tc>
        <w:tc>
          <w:tcPr>
            <w:tcW w:w="639" w:type="dxa"/>
            <w:tcBorders>
              <w:top w:val="nil"/>
              <w:left w:val="nil"/>
              <w:bottom w:val="nil"/>
              <w:right w:val="nil"/>
            </w:tcBorders>
            <w:shd w:val="clear" w:color="auto" w:fill="auto"/>
            <w:noWrap/>
            <w:vAlign w:val="bottom"/>
            <w:hideMark/>
          </w:tcPr>
          <w:p w14:paraId="430A3E68"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21.3</w:t>
            </w:r>
          </w:p>
        </w:tc>
        <w:tc>
          <w:tcPr>
            <w:tcW w:w="639" w:type="dxa"/>
            <w:tcBorders>
              <w:top w:val="nil"/>
              <w:left w:val="nil"/>
              <w:bottom w:val="nil"/>
              <w:right w:val="nil"/>
            </w:tcBorders>
            <w:shd w:val="clear" w:color="auto" w:fill="auto"/>
            <w:noWrap/>
            <w:vAlign w:val="bottom"/>
            <w:hideMark/>
          </w:tcPr>
          <w:p w14:paraId="7B0901E8"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33.6</w:t>
            </w:r>
          </w:p>
        </w:tc>
        <w:tc>
          <w:tcPr>
            <w:tcW w:w="639" w:type="dxa"/>
            <w:tcBorders>
              <w:top w:val="nil"/>
              <w:left w:val="nil"/>
              <w:bottom w:val="nil"/>
              <w:right w:val="nil"/>
            </w:tcBorders>
            <w:shd w:val="clear" w:color="auto" w:fill="auto"/>
            <w:noWrap/>
            <w:vAlign w:val="bottom"/>
            <w:hideMark/>
          </w:tcPr>
          <w:p w14:paraId="239B113A"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50.5</w:t>
            </w:r>
          </w:p>
        </w:tc>
        <w:tc>
          <w:tcPr>
            <w:tcW w:w="639" w:type="dxa"/>
            <w:tcBorders>
              <w:top w:val="nil"/>
              <w:left w:val="nil"/>
              <w:bottom w:val="nil"/>
              <w:right w:val="single" w:sz="4" w:space="0" w:color="auto"/>
            </w:tcBorders>
            <w:shd w:val="clear" w:color="auto" w:fill="auto"/>
            <w:noWrap/>
            <w:vAlign w:val="bottom"/>
            <w:hideMark/>
          </w:tcPr>
          <w:p w14:paraId="0EF09FF0"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59.7</w:t>
            </w:r>
          </w:p>
        </w:tc>
        <w:tc>
          <w:tcPr>
            <w:tcW w:w="639" w:type="dxa"/>
            <w:tcBorders>
              <w:top w:val="nil"/>
              <w:left w:val="nil"/>
              <w:bottom w:val="nil"/>
              <w:right w:val="single" w:sz="4" w:space="0" w:color="auto"/>
            </w:tcBorders>
            <w:shd w:val="clear" w:color="auto" w:fill="auto"/>
            <w:noWrap/>
            <w:vAlign w:val="bottom"/>
            <w:hideMark/>
          </w:tcPr>
          <w:p w14:paraId="403460B3"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67.4</w:t>
            </w:r>
          </w:p>
        </w:tc>
        <w:tc>
          <w:tcPr>
            <w:tcW w:w="639" w:type="dxa"/>
            <w:tcBorders>
              <w:top w:val="nil"/>
              <w:left w:val="nil"/>
              <w:bottom w:val="nil"/>
              <w:right w:val="single" w:sz="4" w:space="0" w:color="auto"/>
            </w:tcBorders>
            <w:shd w:val="clear" w:color="auto" w:fill="auto"/>
            <w:noWrap/>
            <w:vAlign w:val="bottom"/>
            <w:hideMark/>
          </w:tcPr>
          <w:p w14:paraId="346E9ACE"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48.1</w:t>
            </w:r>
          </w:p>
        </w:tc>
      </w:tr>
      <w:tr w:rsidR="005E07ED" w:rsidRPr="007C740F" w14:paraId="3E735E73" w14:textId="77777777" w:rsidTr="00A0215E">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2D6BFCD8"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22CFB1A7"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Oro-facial clefts</w:t>
            </w:r>
          </w:p>
        </w:tc>
        <w:tc>
          <w:tcPr>
            <w:tcW w:w="639" w:type="dxa"/>
            <w:tcBorders>
              <w:top w:val="nil"/>
              <w:left w:val="single" w:sz="4" w:space="0" w:color="auto"/>
              <w:bottom w:val="nil"/>
              <w:right w:val="nil"/>
            </w:tcBorders>
            <w:shd w:val="clear" w:color="auto" w:fill="auto"/>
            <w:noWrap/>
            <w:vAlign w:val="bottom"/>
            <w:hideMark/>
          </w:tcPr>
          <w:p w14:paraId="14DF1C9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0.8</w:t>
            </w:r>
          </w:p>
        </w:tc>
        <w:tc>
          <w:tcPr>
            <w:tcW w:w="639" w:type="dxa"/>
            <w:tcBorders>
              <w:top w:val="nil"/>
              <w:left w:val="nil"/>
              <w:bottom w:val="nil"/>
              <w:right w:val="nil"/>
            </w:tcBorders>
            <w:shd w:val="clear" w:color="auto" w:fill="auto"/>
            <w:noWrap/>
            <w:vAlign w:val="bottom"/>
            <w:hideMark/>
          </w:tcPr>
          <w:p w14:paraId="4E580320"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w:t>
            </w:r>
          </w:p>
        </w:tc>
        <w:tc>
          <w:tcPr>
            <w:tcW w:w="639" w:type="dxa"/>
            <w:tcBorders>
              <w:top w:val="nil"/>
              <w:left w:val="nil"/>
              <w:bottom w:val="nil"/>
              <w:right w:val="nil"/>
            </w:tcBorders>
            <w:shd w:val="clear" w:color="auto" w:fill="auto"/>
            <w:noWrap/>
            <w:vAlign w:val="bottom"/>
            <w:hideMark/>
          </w:tcPr>
          <w:p w14:paraId="217CC6A8"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w:t>
            </w:r>
          </w:p>
        </w:tc>
        <w:tc>
          <w:tcPr>
            <w:tcW w:w="639" w:type="dxa"/>
            <w:tcBorders>
              <w:top w:val="nil"/>
              <w:left w:val="nil"/>
              <w:bottom w:val="nil"/>
              <w:right w:val="nil"/>
            </w:tcBorders>
            <w:shd w:val="clear" w:color="auto" w:fill="auto"/>
            <w:noWrap/>
            <w:vAlign w:val="bottom"/>
            <w:hideMark/>
          </w:tcPr>
          <w:p w14:paraId="4ADDE150"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w:t>
            </w:r>
          </w:p>
        </w:tc>
        <w:tc>
          <w:tcPr>
            <w:tcW w:w="639" w:type="dxa"/>
            <w:tcBorders>
              <w:top w:val="nil"/>
              <w:left w:val="nil"/>
              <w:bottom w:val="nil"/>
              <w:right w:val="single" w:sz="4" w:space="0" w:color="auto"/>
            </w:tcBorders>
            <w:shd w:val="clear" w:color="auto" w:fill="auto"/>
            <w:noWrap/>
            <w:vAlign w:val="bottom"/>
            <w:hideMark/>
          </w:tcPr>
          <w:p w14:paraId="3D19A270"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w:t>
            </w:r>
          </w:p>
        </w:tc>
        <w:tc>
          <w:tcPr>
            <w:tcW w:w="639" w:type="dxa"/>
            <w:tcBorders>
              <w:top w:val="nil"/>
              <w:left w:val="nil"/>
              <w:bottom w:val="nil"/>
              <w:right w:val="single" w:sz="4" w:space="0" w:color="auto"/>
            </w:tcBorders>
            <w:shd w:val="clear" w:color="auto" w:fill="auto"/>
            <w:noWrap/>
            <w:vAlign w:val="bottom"/>
            <w:hideMark/>
          </w:tcPr>
          <w:p w14:paraId="1B797D81"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2.9</w:t>
            </w:r>
          </w:p>
        </w:tc>
        <w:tc>
          <w:tcPr>
            <w:tcW w:w="639" w:type="dxa"/>
            <w:tcBorders>
              <w:top w:val="nil"/>
              <w:left w:val="nil"/>
              <w:bottom w:val="nil"/>
              <w:right w:val="single" w:sz="4" w:space="0" w:color="auto"/>
            </w:tcBorders>
            <w:shd w:val="clear" w:color="auto" w:fill="auto"/>
            <w:noWrap/>
            <w:vAlign w:val="bottom"/>
            <w:hideMark/>
          </w:tcPr>
          <w:p w14:paraId="1ED07709"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w:t>
            </w:r>
          </w:p>
        </w:tc>
      </w:tr>
      <w:tr w:rsidR="005E07ED" w:rsidRPr="007C740F" w14:paraId="6F345E09" w14:textId="77777777" w:rsidTr="00A0215E">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6AFB34DF"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422839B6"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Congen heart disease</w:t>
            </w:r>
          </w:p>
        </w:tc>
        <w:tc>
          <w:tcPr>
            <w:tcW w:w="639" w:type="dxa"/>
            <w:tcBorders>
              <w:top w:val="nil"/>
              <w:left w:val="single" w:sz="4" w:space="0" w:color="auto"/>
              <w:bottom w:val="nil"/>
              <w:right w:val="nil"/>
            </w:tcBorders>
            <w:shd w:val="clear" w:color="auto" w:fill="auto"/>
            <w:noWrap/>
            <w:vAlign w:val="bottom"/>
            <w:hideMark/>
          </w:tcPr>
          <w:p w14:paraId="1C3AC7C5"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0.5</w:t>
            </w:r>
          </w:p>
        </w:tc>
        <w:tc>
          <w:tcPr>
            <w:tcW w:w="639" w:type="dxa"/>
            <w:tcBorders>
              <w:top w:val="nil"/>
              <w:left w:val="nil"/>
              <w:bottom w:val="nil"/>
              <w:right w:val="nil"/>
            </w:tcBorders>
            <w:shd w:val="clear" w:color="auto" w:fill="auto"/>
            <w:noWrap/>
            <w:vAlign w:val="bottom"/>
            <w:hideMark/>
          </w:tcPr>
          <w:p w14:paraId="160EA371"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w:t>
            </w:r>
          </w:p>
        </w:tc>
        <w:tc>
          <w:tcPr>
            <w:tcW w:w="639" w:type="dxa"/>
            <w:tcBorders>
              <w:top w:val="nil"/>
              <w:left w:val="nil"/>
              <w:bottom w:val="nil"/>
              <w:right w:val="nil"/>
            </w:tcBorders>
            <w:shd w:val="clear" w:color="auto" w:fill="auto"/>
            <w:noWrap/>
            <w:vAlign w:val="bottom"/>
            <w:hideMark/>
          </w:tcPr>
          <w:p w14:paraId="4AA0D57B"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w:t>
            </w:r>
          </w:p>
        </w:tc>
        <w:tc>
          <w:tcPr>
            <w:tcW w:w="639" w:type="dxa"/>
            <w:tcBorders>
              <w:top w:val="nil"/>
              <w:left w:val="nil"/>
              <w:bottom w:val="nil"/>
              <w:right w:val="nil"/>
            </w:tcBorders>
            <w:shd w:val="clear" w:color="auto" w:fill="auto"/>
            <w:noWrap/>
            <w:vAlign w:val="bottom"/>
            <w:hideMark/>
          </w:tcPr>
          <w:p w14:paraId="172AA8B4"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w:t>
            </w:r>
          </w:p>
        </w:tc>
        <w:tc>
          <w:tcPr>
            <w:tcW w:w="639" w:type="dxa"/>
            <w:tcBorders>
              <w:top w:val="nil"/>
              <w:left w:val="nil"/>
              <w:bottom w:val="nil"/>
              <w:right w:val="single" w:sz="4" w:space="0" w:color="auto"/>
            </w:tcBorders>
            <w:shd w:val="clear" w:color="auto" w:fill="auto"/>
            <w:noWrap/>
            <w:vAlign w:val="bottom"/>
            <w:hideMark/>
          </w:tcPr>
          <w:p w14:paraId="5A96ACC6"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4.3</w:t>
            </w:r>
          </w:p>
        </w:tc>
        <w:tc>
          <w:tcPr>
            <w:tcW w:w="639" w:type="dxa"/>
            <w:tcBorders>
              <w:top w:val="nil"/>
              <w:left w:val="nil"/>
              <w:bottom w:val="nil"/>
              <w:right w:val="single" w:sz="4" w:space="0" w:color="auto"/>
            </w:tcBorders>
            <w:shd w:val="clear" w:color="auto" w:fill="auto"/>
            <w:noWrap/>
            <w:vAlign w:val="bottom"/>
            <w:hideMark/>
          </w:tcPr>
          <w:p w14:paraId="616F0849"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4.4</w:t>
            </w:r>
          </w:p>
        </w:tc>
        <w:tc>
          <w:tcPr>
            <w:tcW w:w="639" w:type="dxa"/>
            <w:tcBorders>
              <w:top w:val="nil"/>
              <w:left w:val="nil"/>
              <w:bottom w:val="nil"/>
              <w:right w:val="single" w:sz="4" w:space="0" w:color="auto"/>
            </w:tcBorders>
            <w:shd w:val="clear" w:color="auto" w:fill="auto"/>
            <w:noWrap/>
            <w:vAlign w:val="bottom"/>
            <w:hideMark/>
          </w:tcPr>
          <w:p w14:paraId="7B9DC8F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5.4</w:t>
            </w:r>
          </w:p>
        </w:tc>
      </w:tr>
      <w:tr w:rsidR="005E07ED" w:rsidRPr="007C740F" w14:paraId="08130244" w14:textId="77777777" w:rsidTr="00A0215E">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47086E17"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297434B6"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Severe other malfns</w:t>
            </w:r>
          </w:p>
        </w:tc>
        <w:tc>
          <w:tcPr>
            <w:tcW w:w="639" w:type="dxa"/>
            <w:tcBorders>
              <w:top w:val="nil"/>
              <w:left w:val="single" w:sz="4" w:space="0" w:color="auto"/>
              <w:bottom w:val="nil"/>
              <w:right w:val="nil"/>
            </w:tcBorders>
            <w:shd w:val="clear" w:color="auto" w:fill="auto"/>
            <w:noWrap/>
            <w:vAlign w:val="bottom"/>
            <w:hideMark/>
          </w:tcPr>
          <w:p w14:paraId="6A16E11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1.6</w:t>
            </w:r>
          </w:p>
        </w:tc>
        <w:tc>
          <w:tcPr>
            <w:tcW w:w="639" w:type="dxa"/>
            <w:tcBorders>
              <w:top w:val="nil"/>
              <w:left w:val="nil"/>
              <w:bottom w:val="nil"/>
              <w:right w:val="nil"/>
            </w:tcBorders>
            <w:shd w:val="clear" w:color="auto" w:fill="auto"/>
            <w:noWrap/>
            <w:vAlign w:val="bottom"/>
            <w:hideMark/>
          </w:tcPr>
          <w:p w14:paraId="0AC6FBD1"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6.0</w:t>
            </w:r>
          </w:p>
        </w:tc>
        <w:tc>
          <w:tcPr>
            <w:tcW w:w="639" w:type="dxa"/>
            <w:tcBorders>
              <w:top w:val="nil"/>
              <w:left w:val="nil"/>
              <w:bottom w:val="nil"/>
              <w:right w:val="nil"/>
            </w:tcBorders>
            <w:shd w:val="clear" w:color="auto" w:fill="auto"/>
            <w:noWrap/>
            <w:vAlign w:val="bottom"/>
            <w:hideMark/>
          </w:tcPr>
          <w:p w14:paraId="0EB73215"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8.7</w:t>
            </w:r>
          </w:p>
        </w:tc>
        <w:tc>
          <w:tcPr>
            <w:tcW w:w="639" w:type="dxa"/>
            <w:tcBorders>
              <w:top w:val="nil"/>
              <w:left w:val="nil"/>
              <w:bottom w:val="nil"/>
              <w:right w:val="nil"/>
            </w:tcBorders>
            <w:shd w:val="clear" w:color="auto" w:fill="auto"/>
            <w:noWrap/>
            <w:vAlign w:val="bottom"/>
            <w:hideMark/>
          </w:tcPr>
          <w:p w14:paraId="2509091A"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10.6</w:t>
            </w:r>
          </w:p>
        </w:tc>
        <w:tc>
          <w:tcPr>
            <w:tcW w:w="639" w:type="dxa"/>
            <w:tcBorders>
              <w:top w:val="nil"/>
              <w:left w:val="nil"/>
              <w:bottom w:val="nil"/>
              <w:right w:val="single" w:sz="4" w:space="0" w:color="auto"/>
            </w:tcBorders>
            <w:shd w:val="clear" w:color="auto" w:fill="auto"/>
            <w:noWrap/>
            <w:vAlign w:val="bottom"/>
            <w:hideMark/>
          </w:tcPr>
          <w:p w14:paraId="66AEEA22"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11.3</w:t>
            </w:r>
          </w:p>
        </w:tc>
        <w:tc>
          <w:tcPr>
            <w:tcW w:w="639" w:type="dxa"/>
            <w:tcBorders>
              <w:top w:val="nil"/>
              <w:left w:val="nil"/>
              <w:bottom w:val="nil"/>
              <w:right w:val="single" w:sz="4" w:space="0" w:color="auto"/>
            </w:tcBorders>
            <w:shd w:val="clear" w:color="auto" w:fill="auto"/>
            <w:noWrap/>
            <w:vAlign w:val="bottom"/>
            <w:hideMark/>
          </w:tcPr>
          <w:p w14:paraId="5F590353"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11.0</w:t>
            </w:r>
          </w:p>
        </w:tc>
        <w:tc>
          <w:tcPr>
            <w:tcW w:w="639" w:type="dxa"/>
            <w:tcBorders>
              <w:top w:val="nil"/>
              <w:left w:val="nil"/>
              <w:bottom w:val="nil"/>
              <w:right w:val="single" w:sz="4" w:space="0" w:color="auto"/>
            </w:tcBorders>
            <w:shd w:val="clear" w:color="auto" w:fill="auto"/>
            <w:noWrap/>
            <w:vAlign w:val="bottom"/>
            <w:hideMark/>
          </w:tcPr>
          <w:p w14:paraId="74E17359"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10.1</w:t>
            </w:r>
          </w:p>
        </w:tc>
      </w:tr>
      <w:tr w:rsidR="005E07ED" w:rsidRPr="007C740F" w14:paraId="30B4B145" w14:textId="77777777" w:rsidTr="00A0215E">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5C4A9197"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33C0321C"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Less severe malfns</w:t>
            </w:r>
          </w:p>
        </w:tc>
        <w:tc>
          <w:tcPr>
            <w:tcW w:w="639" w:type="dxa"/>
            <w:tcBorders>
              <w:top w:val="nil"/>
              <w:left w:val="single" w:sz="4" w:space="0" w:color="auto"/>
              <w:bottom w:val="nil"/>
              <w:right w:val="nil"/>
            </w:tcBorders>
            <w:shd w:val="clear" w:color="auto" w:fill="auto"/>
            <w:noWrap/>
            <w:vAlign w:val="bottom"/>
            <w:hideMark/>
          </w:tcPr>
          <w:p w14:paraId="6F4F375B"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0.2</w:t>
            </w:r>
          </w:p>
        </w:tc>
        <w:tc>
          <w:tcPr>
            <w:tcW w:w="639" w:type="dxa"/>
            <w:tcBorders>
              <w:top w:val="nil"/>
              <w:left w:val="nil"/>
              <w:bottom w:val="nil"/>
              <w:right w:val="nil"/>
            </w:tcBorders>
            <w:shd w:val="clear" w:color="auto" w:fill="auto"/>
            <w:noWrap/>
            <w:vAlign w:val="bottom"/>
            <w:hideMark/>
          </w:tcPr>
          <w:p w14:paraId="4D0BA06F"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1.6</w:t>
            </w:r>
          </w:p>
        </w:tc>
        <w:tc>
          <w:tcPr>
            <w:tcW w:w="639" w:type="dxa"/>
            <w:tcBorders>
              <w:top w:val="nil"/>
              <w:left w:val="nil"/>
              <w:bottom w:val="nil"/>
              <w:right w:val="nil"/>
            </w:tcBorders>
            <w:shd w:val="clear" w:color="auto" w:fill="auto"/>
            <w:noWrap/>
            <w:vAlign w:val="bottom"/>
            <w:hideMark/>
          </w:tcPr>
          <w:p w14:paraId="52169E4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w:t>
            </w:r>
          </w:p>
        </w:tc>
        <w:tc>
          <w:tcPr>
            <w:tcW w:w="639" w:type="dxa"/>
            <w:tcBorders>
              <w:top w:val="nil"/>
              <w:left w:val="nil"/>
              <w:bottom w:val="nil"/>
              <w:right w:val="nil"/>
            </w:tcBorders>
            <w:shd w:val="clear" w:color="auto" w:fill="auto"/>
            <w:noWrap/>
            <w:vAlign w:val="bottom"/>
            <w:hideMark/>
          </w:tcPr>
          <w:p w14:paraId="48C2454F"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5FE9C0CA"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2595DE1A"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0176415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w:t>
            </w:r>
          </w:p>
        </w:tc>
      </w:tr>
      <w:tr w:rsidR="005E07ED" w:rsidRPr="007C740F" w14:paraId="1B1D0F44" w14:textId="77777777" w:rsidTr="00A0215E">
        <w:trPr>
          <w:trHeight w:val="300"/>
          <w:jc w:val="center"/>
        </w:trPr>
        <w:tc>
          <w:tcPr>
            <w:tcW w:w="1107" w:type="dxa"/>
            <w:vMerge w:val="restart"/>
            <w:tcBorders>
              <w:top w:val="nil"/>
              <w:left w:val="single" w:sz="4" w:space="0" w:color="auto"/>
              <w:bottom w:val="single" w:sz="4" w:space="0" w:color="000000"/>
              <w:right w:val="single" w:sz="4" w:space="0" w:color="auto"/>
            </w:tcBorders>
            <w:shd w:val="clear" w:color="auto" w:fill="auto"/>
            <w:vAlign w:val="center"/>
            <w:hideMark/>
          </w:tcPr>
          <w:p w14:paraId="1F016CA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Chromosomal disorders</w:t>
            </w:r>
          </w:p>
        </w:tc>
        <w:tc>
          <w:tcPr>
            <w:tcW w:w="1900" w:type="dxa"/>
            <w:tcBorders>
              <w:top w:val="single" w:sz="4" w:space="0" w:color="auto"/>
              <w:left w:val="nil"/>
              <w:bottom w:val="nil"/>
              <w:right w:val="nil"/>
            </w:tcBorders>
            <w:shd w:val="clear" w:color="auto" w:fill="auto"/>
            <w:noWrap/>
            <w:vAlign w:val="bottom"/>
            <w:hideMark/>
          </w:tcPr>
          <w:p w14:paraId="14B2E834"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Down syndrome</w:t>
            </w:r>
          </w:p>
        </w:tc>
        <w:tc>
          <w:tcPr>
            <w:tcW w:w="639" w:type="dxa"/>
            <w:tcBorders>
              <w:top w:val="single" w:sz="4" w:space="0" w:color="auto"/>
              <w:left w:val="single" w:sz="4" w:space="0" w:color="auto"/>
              <w:bottom w:val="nil"/>
              <w:right w:val="nil"/>
            </w:tcBorders>
            <w:shd w:val="clear" w:color="auto" w:fill="auto"/>
            <w:noWrap/>
            <w:vAlign w:val="bottom"/>
            <w:hideMark/>
          </w:tcPr>
          <w:p w14:paraId="2E82C954"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4.3</w:t>
            </w:r>
          </w:p>
        </w:tc>
        <w:tc>
          <w:tcPr>
            <w:tcW w:w="639" w:type="dxa"/>
            <w:tcBorders>
              <w:top w:val="single" w:sz="4" w:space="0" w:color="auto"/>
              <w:left w:val="nil"/>
              <w:bottom w:val="nil"/>
              <w:right w:val="nil"/>
            </w:tcBorders>
            <w:shd w:val="clear" w:color="auto" w:fill="auto"/>
            <w:noWrap/>
            <w:vAlign w:val="bottom"/>
            <w:hideMark/>
          </w:tcPr>
          <w:p w14:paraId="6A7260B6"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14.7</w:t>
            </w:r>
          </w:p>
        </w:tc>
        <w:tc>
          <w:tcPr>
            <w:tcW w:w="639" w:type="dxa"/>
            <w:tcBorders>
              <w:top w:val="single" w:sz="4" w:space="0" w:color="auto"/>
              <w:left w:val="nil"/>
              <w:bottom w:val="nil"/>
              <w:right w:val="nil"/>
            </w:tcBorders>
            <w:shd w:val="clear" w:color="auto" w:fill="auto"/>
            <w:noWrap/>
            <w:vAlign w:val="bottom"/>
            <w:hideMark/>
          </w:tcPr>
          <w:p w14:paraId="40F5095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28.3</w:t>
            </w:r>
          </w:p>
        </w:tc>
        <w:tc>
          <w:tcPr>
            <w:tcW w:w="639" w:type="dxa"/>
            <w:tcBorders>
              <w:top w:val="single" w:sz="4" w:space="0" w:color="auto"/>
              <w:left w:val="nil"/>
              <w:bottom w:val="nil"/>
              <w:right w:val="nil"/>
            </w:tcBorders>
            <w:shd w:val="clear" w:color="auto" w:fill="auto"/>
            <w:noWrap/>
            <w:vAlign w:val="bottom"/>
            <w:hideMark/>
          </w:tcPr>
          <w:p w14:paraId="1374EB7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45.2</w:t>
            </w:r>
          </w:p>
        </w:tc>
        <w:tc>
          <w:tcPr>
            <w:tcW w:w="639" w:type="dxa"/>
            <w:tcBorders>
              <w:top w:val="single" w:sz="4" w:space="0" w:color="auto"/>
              <w:left w:val="nil"/>
              <w:bottom w:val="nil"/>
              <w:right w:val="single" w:sz="4" w:space="0" w:color="auto"/>
            </w:tcBorders>
            <w:shd w:val="clear" w:color="auto" w:fill="auto"/>
            <w:noWrap/>
            <w:vAlign w:val="bottom"/>
            <w:hideMark/>
          </w:tcPr>
          <w:p w14:paraId="077ABE74"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52.9</w:t>
            </w:r>
          </w:p>
        </w:tc>
        <w:tc>
          <w:tcPr>
            <w:tcW w:w="639" w:type="dxa"/>
            <w:tcBorders>
              <w:top w:val="single" w:sz="4" w:space="0" w:color="auto"/>
              <w:left w:val="nil"/>
              <w:bottom w:val="nil"/>
              <w:right w:val="single" w:sz="4" w:space="0" w:color="auto"/>
            </w:tcBorders>
            <w:shd w:val="clear" w:color="auto" w:fill="auto"/>
            <w:noWrap/>
            <w:vAlign w:val="bottom"/>
            <w:hideMark/>
          </w:tcPr>
          <w:p w14:paraId="0AE929C8"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58.7</w:t>
            </w:r>
          </w:p>
        </w:tc>
        <w:tc>
          <w:tcPr>
            <w:tcW w:w="639" w:type="dxa"/>
            <w:tcBorders>
              <w:top w:val="single" w:sz="4" w:space="0" w:color="auto"/>
              <w:left w:val="nil"/>
              <w:bottom w:val="nil"/>
              <w:right w:val="single" w:sz="4" w:space="0" w:color="auto"/>
            </w:tcBorders>
            <w:shd w:val="clear" w:color="auto" w:fill="auto"/>
            <w:noWrap/>
            <w:vAlign w:val="bottom"/>
            <w:hideMark/>
          </w:tcPr>
          <w:p w14:paraId="2DF495A1"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61.4</w:t>
            </w:r>
          </w:p>
        </w:tc>
      </w:tr>
      <w:tr w:rsidR="005E07ED" w:rsidRPr="007C740F" w14:paraId="4BE5C830" w14:textId="77777777" w:rsidTr="00A0215E">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44DF6C02"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4A3F6D6E" w14:textId="2653E880" w:rsidR="005E07ED" w:rsidRPr="007C740F" w:rsidRDefault="005C600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Other trisomies</w:t>
            </w:r>
          </w:p>
        </w:tc>
        <w:tc>
          <w:tcPr>
            <w:tcW w:w="639" w:type="dxa"/>
            <w:tcBorders>
              <w:top w:val="nil"/>
              <w:left w:val="single" w:sz="4" w:space="0" w:color="auto"/>
              <w:bottom w:val="nil"/>
              <w:right w:val="nil"/>
            </w:tcBorders>
            <w:shd w:val="clear" w:color="auto" w:fill="auto"/>
            <w:noWrap/>
            <w:vAlign w:val="bottom"/>
            <w:hideMark/>
          </w:tcPr>
          <w:p w14:paraId="7E55F398"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w:t>
            </w:r>
          </w:p>
        </w:tc>
        <w:tc>
          <w:tcPr>
            <w:tcW w:w="639" w:type="dxa"/>
            <w:tcBorders>
              <w:top w:val="nil"/>
              <w:left w:val="nil"/>
              <w:bottom w:val="nil"/>
              <w:right w:val="nil"/>
            </w:tcBorders>
            <w:shd w:val="clear" w:color="auto" w:fill="auto"/>
            <w:noWrap/>
            <w:vAlign w:val="bottom"/>
            <w:hideMark/>
          </w:tcPr>
          <w:p w14:paraId="426EF7DE"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39.8</w:t>
            </w:r>
          </w:p>
        </w:tc>
        <w:tc>
          <w:tcPr>
            <w:tcW w:w="639" w:type="dxa"/>
            <w:tcBorders>
              <w:top w:val="nil"/>
              <w:left w:val="nil"/>
              <w:bottom w:val="nil"/>
              <w:right w:val="nil"/>
            </w:tcBorders>
            <w:shd w:val="clear" w:color="auto" w:fill="auto"/>
            <w:noWrap/>
            <w:vAlign w:val="bottom"/>
            <w:hideMark/>
          </w:tcPr>
          <w:p w14:paraId="3627DDF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57.1</w:t>
            </w:r>
          </w:p>
        </w:tc>
        <w:tc>
          <w:tcPr>
            <w:tcW w:w="639" w:type="dxa"/>
            <w:tcBorders>
              <w:top w:val="nil"/>
              <w:left w:val="nil"/>
              <w:bottom w:val="nil"/>
              <w:right w:val="nil"/>
            </w:tcBorders>
            <w:shd w:val="clear" w:color="auto" w:fill="auto"/>
            <w:noWrap/>
            <w:vAlign w:val="bottom"/>
            <w:hideMark/>
          </w:tcPr>
          <w:p w14:paraId="327BDA5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67.7</w:t>
            </w:r>
          </w:p>
        </w:tc>
        <w:tc>
          <w:tcPr>
            <w:tcW w:w="639" w:type="dxa"/>
            <w:tcBorders>
              <w:top w:val="nil"/>
              <w:left w:val="nil"/>
              <w:bottom w:val="nil"/>
              <w:right w:val="single" w:sz="4" w:space="0" w:color="auto"/>
            </w:tcBorders>
            <w:shd w:val="clear" w:color="auto" w:fill="auto"/>
            <w:noWrap/>
            <w:vAlign w:val="bottom"/>
            <w:hideMark/>
          </w:tcPr>
          <w:p w14:paraId="54736A75"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75.7</w:t>
            </w:r>
          </w:p>
        </w:tc>
        <w:tc>
          <w:tcPr>
            <w:tcW w:w="639" w:type="dxa"/>
            <w:tcBorders>
              <w:top w:val="nil"/>
              <w:left w:val="nil"/>
              <w:bottom w:val="nil"/>
              <w:right w:val="single" w:sz="4" w:space="0" w:color="auto"/>
            </w:tcBorders>
            <w:shd w:val="clear" w:color="auto" w:fill="auto"/>
            <w:noWrap/>
            <w:vAlign w:val="bottom"/>
            <w:hideMark/>
          </w:tcPr>
          <w:p w14:paraId="6AC7EF35"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81.4</w:t>
            </w:r>
          </w:p>
        </w:tc>
        <w:tc>
          <w:tcPr>
            <w:tcW w:w="639" w:type="dxa"/>
            <w:tcBorders>
              <w:top w:val="nil"/>
              <w:left w:val="nil"/>
              <w:bottom w:val="nil"/>
              <w:right w:val="single" w:sz="4" w:space="0" w:color="auto"/>
            </w:tcBorders>
            <w:shd w:val="clear" w:color="auto" w:fill="auto"/>
            <w:noWrap/>
            <w:vAlign w:val="bottom"/>
            <w:hideMark/>
          </w:tcPr>
          <w:p w14:paraId="1330A2E4"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82.9</w:t>
            </w:r>
          </w:p>
        </w:tc>
      </w:tr>
      <w:tr w:rsidR="005E07ED" w:rsidRPr="007C740F" w14:paraId="2727D062" w14:textId="77777777" w:rsidTr="00A0215E">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493DBE97"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60C588EF"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Rare chromosomal</w:t>
            </w:r>
          </w:p>
        </w:tc>
        <w:tc>
          <w:tcPr>
            <w:tcW w:w="639" w:type="dxa"/>
            <w:tcBorders>
              <w:top w:val="nil"/>
              <w:left w:val="single" w:sz="4" w:space="0" w:color="auto"/>
              <w:bottom w:val="nil"/>
              <w:right w:val="nil"/>
            </w:tcBorders>
            <w:shd w:val="clear" w:color="auto" w:fill="auto"/>
            <w:noWrap/>
            <w:vAlign w:val="bottom"/>
            <w:hideMark/>
          </w:tcPr>
          <w:p w14:paraId="1523301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9.3</w:t>
            </w:r>
          </w:p>
        </w:tc>
        <w:tc>
          <w:tcPr>
            <w:tcW w:w="639" w:type="dxa"/>
            <w:tcBorders>
              <w:top w:val="nil"/>
              <w:left w:val="nil"/>
              <w:bottom w:val="nil"/>
              <w:right w:val="nil"/>
            </w:tcBorders>
            <w:shd w:val="clear" w:color="auto" w:fill="auto"/>
            <w:noWrap/>
            <w:vAlign w:val="bottom"/>
            <w:hideMark/>
          </w:tcPr>
          <w:p w14:paraId="01F9829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23.7</w:t>
            </w:r>
          </w:p>
        </w:tc>
        <w:tc>
          <w:tcPr>
            <w:tcW w:w="639" w:type="dxa"/>
            <w:tcBorders>
              <w:top w:val="nil"/>
              <w:left w:val="nil"/>
              <w:bottom w:val="nil"/>
              <w:right w:val="nil"/>
            </w:tcBorders>
            <w:shd w:val="clear" w:color="auto" w:fill="auto"/>
            <w:noWrap/>
            <w:vAlign w:val="bottom"/>
            <w:hideMark/>
          </w:tcPr>
          <w:p w14:paraId="5C144561"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54.6</w:t>
            </w:r>
          </w:p>
        </w:tc>
        <w:tc>
          <w:tcPr>
            <w:tcW w:w="639" w:type="dxa"/>
            <w:tcBorders>
              <w:top w:val="nil"/>
              <w:left w:val="nil"/>
              <w:bottom w:val="nil"/>
              <w:right w:val="nil"/>
            </w:tcBorders>
            <w:shd w:val="clear" w:color="auto" w:fill="auto"/>
            <w:noWrap/>
            <w:vAlign w:val="bottom"/>
            <w:hideMark/>
          </w:tcPr>
          <w:p w14:paraId="10B6889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47.8</w:t>
            </w:r>
          </w:p>
        </w:tc>
        <w:tc>
          <w:tcPr>
            <w:tcW w:w="639" w:type="dxa"/>
            <w:tcBorders>
              <w:top w:val="nil"/>
              <w:left w:val="nil"/>
              <w:bottom w:val="nil"/>
              <w:right w:val="single" w:sz="4" w:space="0" w:color="auto"/>
            </w:tcBorders>
            <w:shd w:val="clear" w:color="auto" w:fill="auto"/>
            <w:noWrap/>
            <w:vAlign w:val="bottom"/>
            <w:hideMark/>
          </w:tcPr>
          <w:p w14:paraId="45A3A881"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41.7</w:t>
            </w:r>
          </w:p>
        </w:tc>
        <w:tc>
          <w:tcPr>
            <w:tcW w:w="639" w:type="dxa"/>
            <w:tcBorders>
              <w:top w:val="nil"/>
              <w:left w:val="nil"/>
              <w:bottom w:val="nil"/>
              <w:right w:val="single" w:sz="4" w:space="0" w:color="auto"/>
            </w:tcBorders>
            <w:shd w:val="clear" w:color="auto" w:fill="auto"/>
            <w:noWrap/>
            <w:vAlign w:val="bottom"/>
            <w:hideMark/>
          </w:tcPr>
          <w:p w14:paraId="328442EB"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42.1</w:t>
            </w:r>
          </w:p>
        </w:tc>
        <w:tc>
          <w:tcPr>
            <w:tcW w:w="639" w:type="dxa"/>
            <w:tcBorders>
              <w:top w:val="nil"/>
              <w:left w:val="nil"/>
              <w:bottom w:val="nil"/>
              <w:right w:val="single" w:sz="4" w:space="0" w:color="auto"/>
            </w:tcBorders>
            <w:shd w:val="clear" w:color="auto" w:fill="auto"/>
            <w:noWrap/>
            <w:vAlign w:val="bottom"/>
            <w:hideMark/>
          </w:tcPr>
          <w:p w14:paraId="1707F3FC"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50.4</w:t>
            </w:r>
          </w:p>
        </w:tc>
      </w:tr>
      <w:tr w:rsidR="005E07ED" w:rsidRPr="007C740F" w14:paraId="47041BCD" w14:textId="77777777" w:rsidTr="00A0215E">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3D71FE2B"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single" w:sz="4" w:space="0" w:color="auto"/>
              <w:right w:val="nil"/>
            </w:tcBorders>
            <w:shd w:val="clear" w:color="auto" w:fill="auto"/>
            <w:noWrap/>
            <w:vAlign w:val="bottom"/>
            <w:hideMark/>
          </w:tcPr>
          <w:p w14:paraId="593084CC" w14:textId="77777777" w:rsidR="005E07ED" w:rsidRPr="007C740F" w:rsidRDefault="005E07ED" w:rsidP="005E07ED">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Turner syndrome</w:t>
            </w:r>
          </w:p>
        </w:tc>
        <w:tc>
          <w:tcPr>
            <w:tcW w:w="639" w:type="dxa"/>
            <w:tcBorders>
              <w:top w:val="nil"/>
              <w:left w:val="single" w:sz="4" w:space="0" w:color="auto"/>
              <w:bottom w:val="single" w:sz="4" w:space="0" w:color="auto"/>
              <w:right w:val="nil"/>
            </w:tcBorders>
            <w:shd w:val="clear" w:color="auto" w:fill="auto"/>
            <w:noWrap/>
            <w:vAlign w:val="bottom"/>
            <w:hideMark/>
          </w:tcPr>
          <w:p w14:paraId="35636365"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32.9</w:t>
            </w:r>
          </w:p>
        </w:tc>
        <w:tc>
          <w:tcPr>
            <w:tcW w:w="639" w:type="dxa"/>
            <w:tcBorders>
              <w:top w:val="nil"/>
              <w:left w:val="nil"/>
              <w:bottom w:val="single" w:sz="4" w:space="0" w:color="auto"/>
              <w:right w:val="nil"/>
            </w:tcBorders>
            <w:shd w:val="clear" w:color="auto" w:fill="auto"/>
            <w:noWrap/>
            <w:vAlign w:val="bottom"/>
            <w:hideMark/>
          </w:tcPr>
          <w:p w14:paraId="40E8F900"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45.1</w:t>
            </w:r>
          </w:p>
        </w:tc>
        <w:tc>
          <w:tcPr>
            <w:tcW w:w="639" w:type="dxa"/>
            <w:tcBorders>
              <w:top w:val="nil"/>
              <w:left w:val="nil"/>
              <w:bottom w:val="single" w:sz="4" w:space="0" w:color="auto"/>
              <w:right w:val="nil"/>
            </w:tcBorders>
            <w:shd w:val="clear" w:color="auto" w:fill="auto"/>
            <w:noWrap/>
            <w:vAlign w:val="bottom"/>
            <w:hideMark/>
          </w:tcPr>
          <w:p w14:paraId="44A550A3"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58.2</w:t>
            </w:r>
          </w:p>
        </w:tc>
        <w:tc>
          <w:tcPr>
            <w:tcW w:w="639" w:type="dxa"/>
            <w:tcBorders>
              <w:top w:val="nil"/>
              <w:left w:val="nil"/>
              <w:bottom w:val="single" w:sz="4" w:space="0" w:color="auto"/>
              <w:right w:val="nil"/>
            </w:tcBorders>
            <w:shd w:val="clear" w:color="auto" w:fill="auto"/>
            <w:noWrap/>
            <w:vAlign w:val="bottom"/>
            <w:hideMark/>
          </w:tcPr>
          <w:p w14:paraId="15135CAD"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64.9</w:t>
            </w:r>
          </w:p>
        </w:tc>
        <w:tc>
          <w:tcPr>
            <w:tcW w:w="639" w:type="dxa"/>
            <w:tcBorders>
              <w:top w:val="nil"/>
              <w:left w:val="nil"/>
              <w:bottom w:val="single" w:sz="4" w:space="0" w:color="auto"/>
              <w:right w:val="single" w:sz="4" w:space="0" w:color="auto"/>
            </w:tcBorders>
            <w:shd w:val="clear" w:color="auto" w:fill="auto"/>
            <w:noWrap/>
            <w:vAlign w:val="bottom"/>
            <w:hideMark/>
          </w:tcPr>
          <w:p w14:paraId="22D71C0F"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65.7</w:t>
            </w:r>
          </w:p>
        </w:tc>
        <w:tc>
          <w:tcPr>
            <w:tcW w:w="639" w:type="dxa"/>
            <w:tcBorders>
              <w:top w:val="nil"/>
              <w:left w:val="nil"/>
              <w:bottom w:val="single" w:sz="4" w:space="0" w:color="auto"/>
              <w:right w:val="single" w:sz="4" w:space="0" w:color="auto"/>
            </w:tcBorders>
            <w:shd w:val="clear" w:color="auto" w:fill="auto"/>
            <w:noWrap/>
            <w:vAlign w:val="bottom"/>
            <w:hideMark/>
          </w:tcPr>
          <w:p w14:paraId="315C42AB" w14:textId="77777777" w:rsidR="005E07ED" w:rsidRPr="007C740F" w:rsidRDefault="005E07ED" w:rsidP="005E07ED">
            <w:pPr>
              <w:spacing w:after="0" w:line="240" w:lineRule="auto"/>
              <w:jc w:val="center"/>
              <w:rPr>
                <w:rFonts w:ascii="Calibri" w:eastAsia="Times New Roman" w:hAnsi="Calibri" w:cs="Calibri"/>
                <w:b/>
                <w:bCs/>
                <w:color w:val="000000"/>
                <w:sz w:val="18"/>
                <w:szCs w:val="18"/>
                <w:lang w:eastAsia="en-GB"/>
              </w:rPr>
            </w:pPr>
            <w:r w:rsidRPr="007C740F">
              <w:rPr>
                <w:rFonts w:ascii="Calibri" w:eastAsia="Times New Roman" w:hAnsi="Calibri" w:cs="Calibri"/>
                <w:b/>
                <w:bCs/>
                <w:color w:val="000000"/>
                <w:sz w:val="18"/>
                <w:szCs w:val="18"/>
                <w:lang w:eastAsia="en-GB"/>
              </w:rPr>
              <w:t>69.9</w:t>
            </w:r>
          </w:p>
        </w:tc>
        <w:tc>
          <w:tcPr>
            <w:tcW w:w="639" w:type="dxa"/>
            <w:tcBorders>
              <w:top w:val="nil"/>
              <w:left w:val="nil"/>
              <w:bottom w:val="single" w:sz="4" w:space="0" w:color="auto"/>
              <w:right w:val="single" w:sz="4" w:space="0" w:color="auto"/>
            </w:tcBorders>
            <w:shd w:val="clear" w:color="auto" w:fill="auto"/>
            <w:noWrap/>
            <w:vAlign w:val="bottom"/>
            <w:hideMark/>
          </w:tcPr>
          <w:p w14:paraId="3B765E15" w14:textId="77777777" w:rsidR="005E07ED" w:rsidRPr="007C740F" w:rsidRDefault="005E07ED" w:rsidP="005E07ED">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72.6</w:t>
            </w:r>
          </w:p>
        </w:tc>
      </w:tr>
    </w:tbl>
    <w:p w14:paraId="1B11436C" w14:textId="280C8A96" w:rsidR="001D57C9" w:rsidRPr="007C740F" w:rsidRDefault="001D57C9" w:rsidP="00C77ECD">
      <w:pPr>
        <w:pStyle w:val="BodyText1"/>
        <w:spacing w:before="240"/>
        <w:jc w:val="both"/>
      </w:pPr>
      <w:r w:rsidRPr="007C740F">
        <w:t xml:space="preserve">The rates </w:t>
      </w:r>
      <w:r w:rsidR="00CC5E3B" w:rsidRPr="007C740F">
        <w:t xml:space="preserve">published by EUROCAT and ICBDSR </w:t>
      </w:r>
      <w:r w:rsidR="005C600D" w:rsidRPr="007C740F">
        <w:t>represent the choices of informed at-risk parents</w:t>
      </w:r>
      <w:r w:rsidR="005F121A" w:rsidRPr="007C740F">
        <w:t xml:space="preserve"> and so may be used as a guide</w:t>
      </w:r>
      <w:r w:rsidR="005C600D" w:rsidRPr="007C740F">
        <w:t xml:space="preserve"> </w:t>
      </w:r>
      <w:r w:rsidRPr="007C740F">
        <w:t xml:space="preserve">for termination </w:t>
      </w:r>
      <w:r w:rsidR="0095123E" w:rsidRPr="007C740F">
        <w:t xml:space="preserve">of pregnancy </w:t>
      </w:r>
      <w:r w:rsidRPr="007C740F">
        <w:t>rates elsewhere</w:t>
      </w:r>
      <w:r w:rsidR="005F121A" w:rsidRPr="007C740F">
        <w:t xml:space="preserve">, in the context of </w:t>
      </w:r>
      <w:r w:rsidRPr="007C740F">
        <w:t xml:space="preserve">access to services and reported legality of termination of pregnancy for fetal impairment. </w:t>
      </w:r>
      <w:r w:rsidR="00494C07" w:rsidRPr="007C740F">
        <w:t xml:space="preserve">Table </w:t>
      </w:r>
      <w:r w:rsidR="008B0B70" w:rsidRPr="007C740F">
        <w:t>9</w:t>
      </w:r>
      <w:r w:rsidR="00494C07" w:rsidRPr="007C740F">
        <w:t xml:space="preserve"> shows the resulting global estimates. </w:t>
      </w:r>
      <w:r w:rsidR="002A52A5" w:rsidRPr="007C740F">
        <w:t>However,</w:t>
      </w:r>
      <w:r w:rsidR="005F121A" w:rsidRPr="007C740F">
        <w:t xml:space="preserve"> </w:t>
      </w:r>
      <w:r w:rsidRPr="007C740F">
        <w:t xml:space="preserve">the </w:t>
      </w:r>
      <w:r w:rsidR="00497D57" w:rsidRPr="007C740F">
        <w:t>estimates</w:t>
      </w:r>
      <w:r w:rsidRPr="007C740F">
        <w:t xml:space="preserve"> must be viewed as </w:t>
      </w:r>
      <w:r w:rsidR="005F121A" w:rsidRPr="007C740F">
        <w:t xml:space="preserve">strictly </w:t>
      </w:r>
      <w:r w:rsidR="00497D57" w:rsidRPr="007C740F">
        <w:t>provisional</w:t>
      </w:r>
      <w:r w:rsidR="00EB224C" w:rsidRPr="007C740F">
        <w:t xml:space="preserve"> </w:t>
      </w:r>
      <w:r w:rsidR="005F121A" w:rsidRPr="007C740F">
        <w:t>because</w:t>
      </w:r>
      <w:r w:rsidR="00494C07" w:rsidRPr="007C740F">
        <w:t xml:space="preserve"> of the very limited availability of</w:t>
      </w:r>
      <w:r w:rsidR="005F121A" w:rsidRPr="007C740F">
        <w:t xml:space="preserve"> relevant information</w:t>
      </w:r>
      <w:r w:rsidRPr="007C740F">
        <w:t>.</w:t>
      </w:r>
    </w:p>
    <w:p w14:paraId="69FF3A56" w14:textId="7799BD7F" w:rsidR="0079682B" w:rsidRPr="007C740F" w:rsidRDefault="003775BC" w:rsidP="00497D57">
      <w:pPr>
        <w:pStyle w:val="Tableheader"/>
        <w:spacing w:before="360"/>
      </w:pPr>
      <w:r w:rsidRPr="007C740F">
        <w:t xml:space="preserve">Table </w:t>
      </w:r>
      <w:r w:rsidR="008B0B70" w:rsidRPr="007C740F">
        <w:t>9</w:t>
      </w:r>
      <w:r w:rsidRPr="007C740F">
        <w:t>. E</w:t>
      </w:r>
      <w:r w:rsidR="00BD52DE" w:rsidRPr="007C740F">
        <w:t xml:space="preserve">stimates </w:t>
      </w:r>
      <w:r w:rsidR="00DD03FD" w:rsidRPr="007C740F">
        <w:t>of t</w:t>
      </w:r>
      <w:r w:rsidR="00BD52DE" w:rsidRPr="007C740F">
        <w:t xml:space="preserve">he </w:t>
      </w:r>
      <w:r w:rsidR="005F121A" w:rsidRPr="007C740F">
        <w:t xml:space="preserve">proportion of </w:t>
      </w:r>
      <w:r w:rsidRPr="007C740F">
        <w:t xml:space="preserve">affected </w:t>
      </w:r>
      <w:r w:rsidR="00BD52DE" w:rsidRPr="007C740F">
        <w:t xml:space="preserve">pregnancies terminated </w:t>
      </w:r>
      <w:r w:rsidR="0079682B" w:rsidRPr="007C740F">
        <w:t xml:space="preserve">in </w:t>
      </w:r>
      <w:r w:rsidR="005F121A" w:rsidRPr="007C740F">
        <w:t>2020-24</w:t>
      </w:r>
      <w:r w:rsidRPr="007C740F">
        <w:t xml:space="preserve"> </w:t>
      </w:r>
      <w:r w:rsidR="00BD52DE" w:rsidRPr="007C740F">
        <w:t>by disorder group</w:t>
      </w:r>
      <w:r w:rsidR="005F121A" w:rsidRPr="007C740F">
        <w:t xml:space="preserve"> and WHO region.</w:t>
      </w:r>
    </w:p>
    <w:tbl>
      <w:tblPr>
        <w:tblW w:w="8536" w:type="dxa"/>
        <w:jc w:val="center"/>
        <w:tblLook w:val="04A0" w:firstRow="1" w:lastRow="0" w:firstColumn="1" w:lastColumn="0" w:noHBand="0" w:noVBand="1"/>
      </w:tblPr>
      <w:tblGrid>
        <w:gridCol w:w="967"/>
        <w:gridCol w:w="960"/>
        <w:gridCol w:w="989"/>
        <w:gridCol w:w="960"/>
        <w:gridCol w:w="960"/>
        <w:gridCol w:w="960"/>
        <w:gridCol w:w="960"/>
        <w:gridCol w:w="820"/>
        <w:gridCol w:w="960"/>
      </w:tblGrid>
      <w:tr w:rsidR="0079682B" w:rsidRPr="007C740F" w14:paraId="09F1FDAC" w14:textId="77777777" w:rsidTr="0079682B">
        <w:trPr>
          <w:trHeight w:val="735"/>
          <w:jc w:val="center"/>
        </w:trPr>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D9DB3" w14:textId="77777777" w:rsidR="0079682B" w:rsidRPr="007C740F" w:rsidRDefault="0079682B" w:rsidP="0079682B">
            <w:pPr>
              <w:spacing w:after="0" w:line="240" w:lineRule="auto"/>
              <w:rPr>
                <w:rFonts w:ascii="Calibri Light" w:eastAsia="Times New Roman" w:hAnsi="Calibri Light" w:cs="Times New Roman"/>
                <w:color w:val="000000"/>
                <w:sz w:val="18"/>
                <w:szCs w:val="18"/>
                <w:lang w:eastAsia="en-GB"/>
              </w:rPr>
            </w:pPr>
            <w:r w:rsidRPr="007C740F">
              <w:rPr>
                <w:rFonts w:ascii="Calibri Light" w:eastAsia="Times New Roman" w:hAnsi="Calibri Light" w:cs="Times New Roman"/>
                <w:color w:val="000000"/>
                <w:sz w:val="18"/>
                <w:szCs w:val="18"/>
                <w:lang w:eastAsia="en-GB"/>
              </w:rPr>
              <w:t>WHO region</w:t>
            </w:r>
          </w:p>
        </w:tc>
        <w:tc>
          <w:tcPr>
            <w:tcW w:w="960" w:type="dxa"/>
            <w:tcBorders>
              <w:top w:val="single" w:sz="4" w:space="0" w:color="auto"/>
              <w:left w:val="nil"/>
              <w:bottom w:val="single" w:sz="4" w:space="0" w:color="auto"/>
              <w:right w:val="nil"/>
            </w:tcBorders>
            <w:shd w:val="clear" w:color="auto" w:fill="auto"/>
            <w:vAlign w:val="bottom"/>
            <w:hideMark/>
          </w:tcPr>
          <w:p w14:paraId="5857BFFB"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Down syndrome</w:t>
            </w:r>
          </w:p>
        </w:tc>
        <w:tc>
          <w:tcPr>
            <w:tcW w:w="989" w:type="dxa"/>
            <w:tcBorders>
              <w:top w:val="single" w:sz="4" w:space="0" w:color="auto"/>
              <w:left w:val="nil"/>
              <w:bottom w:val="single" w:sz="4" w:space="0" w:color="auto"/>
              <w:right w:val="nil"/>
            </w:tcBorders>
            <w:shd w:val="clear" w:color="auto" w:fill="auto"/>
            <w:vAlign w:val="bottom"/>
            <w:hideMark/>
          </w:tcPr>
          <w:p w14:paraId="396CE603"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Other autosomal</w:t>
            </w:r>
          </w:p>
        </w:tc>
        <w:tc>
          <w:tcPr>
            <w:tcW w:w="960" w:type="dxa"/>
            <w:tcBorders>
              <w:top w:val="single" w:sz="4" w:space="0" w:color="auto"/>
              <w:left w:val="nil"/>
              <w:bottom w:val="single" w:sz="4" w:space="0" w:color="auto"/>
              <w:right w:val="nil"/>
            </w:tcBorders>
            <w:shd w:val="clear" w:color="auto" w:fill="auto"/>
            <w:vAlign w:val="bottom"/>
            <w:hideMark/>
          </w:tcPr>
          <w:p w14:paraId="21C0D529"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Sex chromo-somal</w:t>
            </w:r>
          </w:p>
        </w:tc>
        <w:tc>
          <w:tcPr>
            <w:tcW w:w="960" w:type="dxa"/>
            <w:tcBorders>
              <w:top w:val="single" w:sz="4" w:space="0" w:color="auto"/>
              <w:left w:val="single" w:sz="4" w:space="0" w:color="auto"/>
              <w:bottom w:val="single" w:sz="4" w:space="0" w:color="auto"/>
              <w:right w:val="nil"/>
            </w:tcBorders>
            <w:shd w:val="clear" w:color="auto" w:fill="auto"/>
            <w:vAlign w:val="bottom"/>
            <w:hideMark/>
          </w:tcPr>
          <w:p w14:paraId="7DBE5816"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Severe congen malfns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A464E2A"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Less severe malfns</w:t>
            </w:r>
          </w:p>
        </w:tc>
        <w:tc>
          <w:tcPr>
            <w:tcW w:w="960" w:type="dxa"/>
            <w:tcBorders>
              <w:top w:val="single" w:sz="4" w:space="0" w:color="auto"/>
              <w:left w:val="nil"/>
              <w:bottom w:val="single" w:sz="4" w:space="0" w:color="auto"/>
              <w:right w:val="nil"/>
            </w:tcBorders>
            <w:shd w:val="clear" w:color="auto" w:fill="auto"/>
            <w:vAlign w:val="bottom"/>
            <w:hideMark/>
          </w:tcPr>
          <w:p w14:paraId="463152A3"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Rare single gene</w:t>
            </w:r>
          </w:p>
        </w:tc>
        <w:tc>
          <w:tcPr>
            <w:tcW w:w="820" w:type="dxa"/>
            <w:tcBorders>
              <w:top w:val="single" w:sz="4" w:space="0" w:color="auto"/>
              <w:left w:val="nil"/>
              <w:bottom w:val="single" w:sz="4" w:space="0" w:color="auto"/>
              <w:right w:val="nil"/>
            </w:tcBorders>
            <w:shd w:val="clear" w:color="auto" w:fill="auto"/>
            <w:vAlign w:val="bottom"/>
            <w:hideMark/>
          </w:tcPr>
          <w:p w14:paraId="6D3C0596"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Hb dis-orders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F4B8C" w14:textId="77777777" w:rsidR="0079682B" w:rsidRPr="007C740F" w:rsidRDefault="0079682B" w:rsidP="0079682B">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Total % TOP</w:t>
            </w:r>
          </w:p>
        </w:tc>
      </w:tr>
      <w:tr w:rsidR="005F121A" w:rsidRPr="007C740F" w14:paraId="2456536F"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239D71B9"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AFR</w:t>
            </w:r>
          </w:p>
        </w:tc>
        <w:tc>
          <w:tcPr>
            <w:tcW w:w="960" w:type="dxa"/>
            <w:tcBorders>
              <w:top w:val="nil"/>
              <w:left w:val="nil"/>
              <w:bottom w:val="nil"/>
              <w:right w:val="nil"/>
            </w:tcBorders>
            <w:shd w:val="clear" w:color="auto" w:fill="auto"/>
            <w:noWrap/>
            <w:vAlign w:val="bottom"/>
            <w:hideMark/>
          </w:tcPr>
          <w:p w14:paraId="6A208F8F" w14:textId="0FDA2C9C"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0.23</w:t>
            </w:r>
          </w:p>
        </w:tc>
        <w:tc>
          <w:tcPr>
            <w:tcW w:w="989" w:type="dxa"/>
            <w:tcBorders>
              <w:top w:val="nil"/>
              <w:left w:val="nil"/>
              <w:bottom w:val="nil"/>
              <w:right w:val="nil"/>
            </w:tcBorders>
            <w:shd w:val="clear" w:color="auto" w:fill="auto"/>
            <w:noWrap/>
            <w:vAlign w:val="bottom"/>
            <w:hideMark/>
          </w:tcPr>
          <w:p w14:paraId="7E305A7B" w14:textId="2E160F23"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0.55</w:t>
            </w:r>
          </w:p>
        </w:tc>
        <w:tc>
          <w:tcPr>
            <w:tcW w:w="960" w:type="dxa"/>
            <w:tcBorders>
              <w:top w:val="nil"/>
              <w:left w:val="nil"/>
              <w:bottom w:val="nil"/>
              <w:right w:val="nil"/>
            </w:tcBorders>
            <w:shd w:val="clear" w:color="auto" w:fill="auto"/>
            <w:noWrap/>
            <w:vAlign w:val="bottom"/>
            <w:hideMark/>
          </w:tcPr>
          <w:p w14:paraId="200C125A" w14:textId="4887455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0.13</w:t>
            </w:r>
          </w:p>
        </w:tc>
        <w:tc>
          <w:tcPr>
            <w:tcW w:w="960" w:type="dxa"/>
            <w:tcBorders>
              <w:top w:val="nil"/>
              <w:left w:val="single" w:sz="4" w:space="0" w:color="auto"/>
              <w:bottom w:val="nil"/>
              <w:right w:val="nil"/>
            </w:tcBorders>
            <w:shd w:val="clear" w:color="auto" w:fill="auto"/>
            <w:noWrap/>
            <w:vAlign w:val="bottom"/>
            <w:hideMark/>
          </w:tcPr>
          <w:p w14:paraId="0A28CF4E" w14:textId="78B040E4"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0.10</w:t>
            </w:r>
          </w:p>
        </w:tc>
        <w:tc>
          <w:tcPr>
            <w:tcW w:w="960" w:type="dxa"/>
            <w:tcBorders>
              <w:top w:val="nil"/>
              <w:left w:val="nil"/>
              <w:bottom w:val="nil"/>
              <w:right w:val="single" w:sz="4" w:space="0" w:color="auto"/>
            </w:tcBorders>
            <w:shd w:val="clear" w:color="auto" w:fill="auto"/>
            <w:noWrap/>
            <w:vAlign w:val="bottom"/>
            <w:hideMark/>
          </w:tcPr>
          <w:p w14:paraId="5AA5972F" w14:textId="1CA80A11"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0.03</w:t>
            </w:r>
          </w:p>
        </w:tc>
        <w:tc>
          <w:tcPr>
            <w:tcW w:w="960" w:type="dxa"/>
            <w:tcBorders>
              <w:top w:val="nil"/>
              <w:left w:val="nil"/>
              <w:bottom w:val="nil"/>
              <w:right w:val="nil"/>
            </w:tcBorders>
            <w:shd w:val="clear" w:color="auto" w:fill="auto"/>
            <w:noWrap/>
            <w:vAlign w:val="bottom"/>
            <w:hideMark/>
          </w:tcPr>
          <w:p w14:paraId="1DA5DA97" w14:textId="3BE50C9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0.14</w:t>
            </w:r>
          </w:p>
        </w:tc>
        <w:tc>
          <w:tcPr>
            <w:tcW w:w="820" w:type="dxa"/>
            <w:tcBorders>
              <w:top w:val="nil"/>
              <w:left w:val="nil"/>
              <w:bottom w:val="nil"/>
              <w:right w:val="nil"/>
            </w:tcBorders>
            <w:shd w:val="clear" w:color="auto" w:fill="auto"/>
            <w:noWrap/>
            <w:vAlign w:val="bottom"/>
            <w:hideMark/>
          </w:tcPr>
          <w:p w14:paraId="7EBF97A3" w14:textId="61F8AB9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0.27</w:t>
            </w:r>
          </w:p>
        </w:tc>
        <w:tc>
          <w:tcPr>
            <w:tcW w:w="960" w:type="dxa"/>
            <w:tcBorders>
              <w:top w:val="nil"/>
              <w:left w:val="single" w:sz="4" w:space="0" w:color="auto"/>
              <w:bottom w:val="nil"/>
              <w:right w:val="single" w:sz="4" w:space="0" w:color="auto"/>
            </w:tcBorders>
            <w:shd w:val="clear" w:color="auto" w:fill="auto"/>
            <w:noWrap/>
            <w:vAlign w:val="bottom"/>
            <w:hideMark/>
          </w:tcPr>
          <w:p w14:paraId="17293EAE" w14:textId="67642457"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0.2</w:t>
            </w:r>
          </w:p>
        </w:tc>
      </w:tr>
      <w:tr w:rsidR="005F121A" w:rsidRPr="007C740F" w14:paraId="0BA7AC79"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1ECB81F9"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AMR</w:t>
            </w:r>
          </w:p>
        </w:tc>
        <w:tc>
          <w:tcPr>
            <w:tcW w:w="960" w:type="dxa"/>
            <w:tcBorders>
              <w:top w:val="nil"/>
              <w:left w:val="nil"/>
              <w:bottom w:val="nil"/>
              <w:right w:val="nil"/>
            </w:tcBorders>
            <w:shd w:val="clear" w:color="auto" w:fill="auto"/>
            <w:noWrap/>
            <w:vAlign w:val="bottom"/>
            <w:hideMark/>
          </w:tcPr>
          <w:p w14:paraId="0045ED3A" w14:textId="462342C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8.99</w:t>
            </w:r>
          </w:p>
        </w:tc>
        <w:tc>
          <w:tcPr>
            <w:tcW w:w="989" w:type="dxa"/>
            <w:tcBorders>
              <w:top w:val="nil"/>
              <w:left w:val="nil"/>
              <w:bottom w:val="nil"/>
              <w:right w:val="nil"/>
            </w:tcBorders>
            <w:shd w:val="clear" w:color="auto" w:fill="auto"/>
            <w:noWrap/>
            <w:vAlign w:val="bottom"/>
            <w:hideMark/>
          </w:tcPr>
          <w:p w14:paraId="15AA6D4A" w14:textId="37B6F1E6"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9.69</w:t>
            </w:r>
          </w:p>
        </w:tc>
        <w:tc>
          <w:tcPr>
            <w:tcW w:w="960" w:type="dxa"/>
            <w:tcBorders>
              <w:top w:val="nil"/>
              <w:left w:val="nil"/>
              <w:bottom w:val="nil"/>
              <w:right w:val="nil"/>
            </w:tcBorders>
            <w:shd w:val="clear" w:color="auto" w:fill="auto"/>
            <w:noWrap/>
            <w:vAlign w:val="bottom"/>
            <w:hideMark/>
          </w:tcPr>
          <w:p w14:paraId="462F7199" w14:textId="1B8A00E8"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2.20</w:t>
            </w:r>
          </w:p>
        </w:tc>
        <w:tc>
          <w:tcPr>
            <w:tcW w:w="960" w:type="dxa"/>
            <w:tcBorders>
              <w:top w:val="nil"/>
              <w:left w:val="single" w:sz="4" w:space="0" w:color="auto"/>
              <w:bottom w:val="nil"/>
              <w:right w:val="nil"/>
            </w:tcBorders>
            <w:shd w:val="clear" w:color="auto" w:fill="auto"/>
            <w:noWrap/>
            <w:vAlign w:val="bottom"/>
            <w:hideMark/>
          </w:tcPr>
          <w:p w14:paraId="2525C7E4" w14:textId="086C2AA7"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1.29</w:t>
            </w:r>
          </w:p>
        </w:tc>
        <w:tc>
          <w:tcPr>
            <w:tcW w:w="960" w:type="dxa"/>
            <w:tcBorders>
              <w:top w:val="nil"/>
              <w:left w:val="nil"/>
              <w:bottom w:val="nil"/>
              <w:right w:val="single" w:sz="4" w:space="0" w:color="auto"/>
            </w:tcBorders>
            <w:shd w:val="clear" w:color="auto" w:fill="auto"/>
            <w:noWrap/>
            <w:vAlign w:val="bottom"/>
            <w:hideMark/>
          </w:tcPr>
          <w:p w14:paraId="3572428E" w14:textId="6172A09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0.54</w:t>
            </w:r>
          </w:p>
        </w:tc>
        <w:tc>
          <w:tcPr>
            <w:tcW w:w="960" w:type="dxa"/>
            <w:tcBorders>
              <w:top w:val="nil"/>
              <w:left w:val="nil"/>
              <w:bottom w:val="nil"/>
              <w:right w:val="nil"/>
            </w:tcBorders>
            <w:shd w:val="clear" w:color="auto" w:fill="auto"/>
            <w:noWrap/>
            <w:vAlign w:val="bottom"/>
            <w:hideMark/>
          </w:tcPr>
          <w:p w14:paraId="7B701B6C" w14:textId="5605FED0"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2.03</w:t>
            </w:r>
          </w:p>
        </w:tc>
        <w:tc>
          <w:tcPr>
            <w:tcW w:w="820" w:type="dxa"/>
            <w:tcBorders>
              <w:top w:val="nil"/>
              <w:left w:val="nil"/>
              <w:bottom w:val="nil"/>
              <w:right w:val="nil"/>
            </w:tcBorders>
            <w:shd w:val="clear" w:color="auto" w:fill="auto"/>
            <w:noWrap/>
            <w:vAlign w:val="bottom"/>
            <w:hideMark/>
          </w:tcPr>
          <w:p w14:paraId="16D8F646" w14:textId="7ADEEDED"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7.96</w:t>
            </w:r>
          </w:p>
        </w:tc>
        <w:tc>
          <w:tcPr>
            <w:tcW w:w="960" w:type="dxa"/>
            <w:tcBorders>
              <w:top w:val="nil"/>
              <w:left w:val="single" w:sz="4" w:space="0" w:color="auto"/>
              <w:bottom w:val="nil"/>
              <w:right w:val="single" w:sz="4" w:space="0" w:color="auto"/>
            </w:tcBorders>
            <w:shd w:val="clear" w:color="auto" w:fill="auto"/>
            <w:noWrap/>
            <w:vAlign w:val="bottom"/>
            <w:hideMark/>
          </w:tcPr>
          <w:p w14:paraId="1C6C8E9C" w14:textId="0D57A71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2.3</w:t>
            </w:r>
          </w:p>
        </w:tc>
      </w:tr>
      <w:tr w:rsidR="005F121A" w:rsidRPr="007C740F" w14:paraId="4B7E7380"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3A906178"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EMR</w:t>
            </w:r>
          </w:p>
        </w:tc>
        <w:tc>
          <w:tcPr>
            <w:tcW w:w="960" w:type="dxa"/>
            <w:tcBorders>
              <w:top w:val="nil"/>
              <w:left w:val="nil"/>
              <w:bottom w:val="nil"/>
              <w:right w:val="nil"/>
            </w:tcBorders>
            <w:shd w:val="clear" w:color="auto" w:fill="auto"/>
            <w:noWrap/>
            <w:vAlign w:val="bottom"/>
            <w:hideMark/>
          </w:tcPr>
          <w:p w14:paraId="4FF80552" w14:textId="00DB4428"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1.57</w:t>
            </w:r>
          </w:p>
        </w:tc>
        <w:tc>
          <w:tcPr>
            <w:tcW w:w="989" w:type="dxa"/>
            <w:tcBorders>
              <w:top w:val="nil"/>
              <w:left w:val="nil"/>
              <w:bottom w:val="nil"/>
              <w:right w:val="nil"/>
            </w:tcBorders>
            <w:shd w:val="clear" w:color="auto" w:fill="auto"/>
            <w:noWrap/>
            <w:vAlign w:val="bottom"/>
            <w:hideMark/>
          </w:tcPr>
          <w:p w14:paraId="78F0F4A0" w14:textId="00836DB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3.42</w:t>
            </w:r>
          </w:p>
        </w:tc>
        <w:tc>
          <w:tcPr>
            <w:tcW w:w="960" w:type="dxa"/>
            <w:tcBorders>
              <w:top w:val="nil"/>
              <w:left w:val="nil"/>
              <w:bottom w:val="nil"/>
              <w:right w:val="nil"/>
            </w:tcBorders>
            <w:shd w:val="clear" w:color="auto" w:fill="auto"/>
            <w:noWrap/>
            <w:vAlign w:val="bottom"/>
            <w:hideMark/>
          </w:tcPr>
          <w:p w14:paraId="4EE59629" w14:textId="146053B3"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0.72</w:t>
            </w:r>
          </w:p>
        </w:tc>
        <w:tc>
          <w:tcPr>
            <w:tcW w:w="960" w:type="dxa"/>
            <w:tcBorders>
              <w:top w:val="nil"/>
              <w:left w:val="single" w:sz="4" w:space="0" w:color="auto"/>
              <w:bottom w:val="nil"/>
              <w:right w:val="nil"/>
            </w:tcBorders>
            <w:shd w:val="clear" w:color="auto" w:fill="auto"/>
            <w:noWrap/>
            <w:vAlign w:val="bottom"/>
            <w:hideMark/>
          </w:tcPr>
          <w:p w14:paraId="58BE7C6F" w14:textId="620B4B3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0.67</w:t>
            </w:r>
          </w:p>
        </w:tc>
        <w:tc>
          <w:tcPr>
            <w:tcW w:w="960" w:type="dxa"/>
            <w:tcBorders>
              <w:top w:val="nil"/>
              <w:left w:val="nil"/>
              <w:bottom w:val="nil"/>
              <w:right w:val="single" w:sz="4" w:space="0" w:color="auto"/>
            </w:tcBorders>
            <w:shd w:val="clear" w:color="auto" w:fill="auto"/>
            <w:noWrap/>
            <w:vAlign w:val="bottom"/>
            <w:hideMark/>
          </w:tcPr>
          <w:p w14:paraId="1EB88A7D" w14:textId="713096F4"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0.18</w:t>
            </w:r>
          </w:p>
        </w:tc>
        <w:tc>
          <w:tcPr>
            <w:tcW w:w="960" w:type="dxa"/>
            <w:tcBorders>
              <w:top w:val="nil"/>
              <w:left w:val="nil"/>
              <w:bottom w:val="nil"/>
              <w:right w:val="nil"/>
            </w:tcBorders>
            <w:shd w:val="clear" w:color="auto" w:fill="auto"/>
            <w:noWrap/>
            <w:vAlign w:val="bottom"/>
            <w:hideMark/>
          </w:tcPr>
          <w:p w14:paraId="28A5A0EC" w14:textId="7AF759BD"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0.40</w:t>
            </w:r>
          </w:p>
        </w:tc>
        <w:tc>
          <w:tcPr>
            <w:tcW w:w="820" w:type="dxa"/>
            <w:tcBorders>
              <w:top w:val="nil"/>
              <w:left w:val="nil"/>
              <w:bottom w:val="nil"/>
              <w:right w:val="nil"/>
            </w:tcBorders>
            <w:shd w:val="clear" w:color="auto" w:fill="auto"/>
            <w:noWrap/>
            <w:vAlign w:val="bottom"/>
            <w:hideMark/>
          </w:tcPr>
          <w:p w14:paraId="751B4A75" w14:textId="2A6C24DD"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7.33</w:t>
            </w:r>
          </w:p>
        </w:tc>
        <w:tc>
          <w:tcPr>
            <w:tcW w:w="960" w:type="dxa"/>
            <w:tcBorders>
              <w:top w:val="nil"/>
              <w:left w:val="single" w:sz="4" w:space="0" w:color="auto"/>
              <w:bottom w:val="nil"/>
              <w:right w:val="single" w:sz="4" w:space="0" w:color="auto"/>
            </w:tcBorders>
            <w:shd w:val="clear" w:color="auto" w:fill="auto"/>
            <w:noWrap/>
            <w:vAlign w:val="bottom"/>
            <w:hideMark/>
          </w:tcPr>
          <w:p w14:paraId="33046AB5" w14:textId="4B3FA544"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0.8</w:t>
            </w:r>
          </w:p>
        </w:tc>
      </w:tr>
      <w:tr w:rsidR="005F121A" w:rsidRPr="007C740F" w14:paraId="636BB784"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4D21D5DB"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EUR</w:t>
            </w:r>
          </w:p>
        </w:tc>
        <w:tc>
          <w:tcPr>
            <w:tcW w:w="960" w:type="dxa"/>
            <w:tcBorders>
              <w:top w:val="nil"/>
              <w:left w:val="nil"/>
              <w:bottom w:val="nil"/>
              <w:right w:val="nil"/>
            </w:tcBorders>
            <w:shd w:val="clear" w:color="auto" w:fill="auto"/>
            <w:noWrap/>
            <w:vAlign w:val="bottom"/>
            <w:hideMark/>
          </w:tcPr>
          <w:p w14:paraId="26162307" w14:textId="0DB6F34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36.49</w:t>
            </w:r>
          </w:p>
        </w:tc>
        <w:tc>
          <w:tcPr>
            <w:tcW w:w="989" w:type="dxa"/>
            <w:tcBorders>
              <w:top w:val="nil"/>
              <w:left w:val="nil"/>
              <w:bottom w:val="nil"/>
              <w:right w:val="nil"/>
            </w:tcBorders>
            <w:shd w:val="clear" w:color="auto" w:fill="auto"/>
            <w:noWrap/>
            <w:vAlign w:val="bottom"/>
            <w:hideMark/>
          </w:tcPr>
          <w:p w14:paraId="3A4A8FAC" w14:textId="1CE0D271"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49.90</w:t>
            </w:r>
          </w:p>
        </w:tc>
        <w:tc>
          <w:tcPr>
            <w:tcW w:w="960" w:type="dxa"/>
            <w:tcBorders>
              <w:top w:val="nil"/>
              <w:left w:val="nil"/>
              <w:bottom w:val="nil"/>
              <w:right w:val="nil"/>
            </w:tcBorders>
            <w:shd w:val="clear" w:color="auto" w:fill="auto"/>
            <w:noWrap/>
            <w:vAlign w:val="bottom"/>
            <w:hideMark/>
          </w:tcPr>
          <w:p w14:paraId="597681F0" w14:textId="33D8622D"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10.02</w:t>
            </w:r>
          </w:p>
        </w:tc>
        <w:tc>
          <w:tcPr>
            <w:tcW w:w="960" w:type="dxa"/>
            <w:tcBorders>
              <w:top w:val="nil"/>
              <w:left w:val="single" w:sz="4" w:space="0" w:color="auto"/>
              <w:bottom w:val="nil"/>
              <w:right w:val="nil"/>
            </w:tcBorders>
            <w:shd w:val="clear" w:color="auto" w:fill="auto"/>
            <w:noWrap/>
            <w:vAlign w:val="bottom"/>
            <w:hideMark/>
          </w:tcPr>
          <w:p w14:paraId="3263C6D4" w14:textId="6CDEAEA9"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8.68</w:t>
            </w:r>
          </w:p>
        </w:tc>
        <w:tc>
          <w:tcPr>
            <w:tcW w:w="960" w:type="dxa"/>
            <w:tcBorders>
              <w:top w:val="nil"/>
              <w:left w:val="nil"/>
              <w:bottom w:val="nil"/>
              <w:right w:val="single" w:sz="4" w:space="0" w:color="auto"/>
            </w:tcBorders>
            <w:shd w:val="clear" w:color="auto" w:fill="auto"/>
            <w:noWrap/>
            <w:vAlign w:val="bottom"/>
            <w:hideMark/>
          </w:tcPr>
          <w:p w14:paraId="38CF8969" w14:textId="5786F42E"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2.54</w:t>
            </w:r>
          </w:p>
        </w:tc>
        <w:tc>
          <w:tcPr>
            <w:tcW w:w="960" w:type="dxa"/>
            <w:tcBorders>
              <w:top w:val="nil"/>
              <w:left w:val="nil"/>
              <w:bottom w:val="nil"/>
              <w:right w:val="nil"/>
            </w:tcBorders>
            <w:shd w:val="clear" w:color="auto" w:fill="auto"/>
            <w:noWrap/>
            <w:vAlign w:val="bottom"/>
            <w:hideMark/>
          </w:tcPr>
          <w:p w14:paraId="0CD7452F" w14:textId="461FF275"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3.52</w:t>
            </w:r>
          </w:p>
        </w:tc>
        <w:tc>
          <w:tcPr>
            <w:tcW w:w="820" w:type="dxa"/>
            <w:tcBorders>
              <w:top w:val="nil"/>
              <w:left w:val="nil"/>
              <w:bottom w:val="nil"/>
              <w:right w:val="nil"/>
            </w:tcBorders>
            <w:shd w:val="clear" w:color="auto" w:fill="auto"/>
            <w:noWrap/>
            <w:vAlign w:val="bottom"/>
            <w:hideMark/>
          </w:tcPr>
          <w:p w14:paraId="3985CCDA" w14:textId="282FB78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47.40</w:t>
            </w:r>
          </w:p>
        </w:tc>
        <w:tc>
          <w:tcPr>
            <w:tcW w:w="960" w:type="dxa"/>
            <w:tcBorders>
              <w:top w:val="nil"/>
              <w:left w:val="single" w:sz="4" w:space="0" w:color="auto"/>
              <w:bottom w:val="nil"/>
              <w:right w:val="single" w:sz="4" w:space="0" w:color="auto"/>
            </w:tcBorders>
            <w:shd w:val="clear" w:color="auto" w:fill="auto"/>
            <w:noWrap/>
            <w:vAlign w:val="bottom"/>
            <w:hideMark/>
          </w:tcPr>
          <w:p w14:paraId="5D10AA8C" w14:textId="0FF5D0C5"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10.5</w:t>
            </w:r>
          </w:p>
        </w:tc>
      </w:tr>
      <w:tr w:rsidR="005F121A" w:rsidRPr="007C740F" w14:paraId="3B1BCC41"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366C2A0E"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SEAR</w:t>
            </w:r>
          </w:p>
        </w:tc>
        <w:tc>
          <w:tcPr>
            <w:tcW w:w="960" w:type="dxa"/>
            <w:tcBorders>
              <w:top w:val="nil"/>
              <w:left w:val="nil"/>
              <w:bottom w:val="nil"/>
              <w:right w:val="nil"/>
            </w:tcBorders>
            <w:shd w:val="clear" w:color="auto" w:fill="auto"/>
            <w:noWrap/>
            <w:vAlign w:val="bottom"/>
            <w:hideMark/>
          </w:tcPr>
          <w:p w14:paraId="6E963286" w14:textId="705FFD2F"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2.48</w:t>
            </w:r>
          </w:p>
        </w:tc>
        <w:tc>
          <w:tcPr>
            <w:tcW w:w="989" w:type="dxa"/>
            <w:tcBorders>
              <w:top w:val="nil"/>
              <w:left w:val="nil"/>
              <w:bottom w:val="nil"/>
              <w:right w:val="nil"/>
            </w:tcBorders>
            <w:shd w:val="clear" w:color="auto" w:fill="auto"/>
            <w:noWrap/>
            <w:vAlign w:val="bottom"/>
            <w:hideMark/>
          </w:tcPr>
          <w:p w14:paraId="131D3DE9" w14:textId="43CF8014"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5.62</w:t>
            </w:r>
          </w:p>
        </w:tc>
        <w:tc>
          <w:tcPr>
            <w:tcW w:w="960" w:type="dxa"/>
            <w:tcBorders>
              <w:top w:val="nil"/>
              <w:left w:val="nil"/>
              <w:bottom w:val="nil"/>
              <w:right w:val="nil"/>
            </w:tcBorders>
            <w:shd w:val="clear" w:color="auto" w:fill="auto"/>
            <w:noWrap/>
            <w:vAlign w:val="bottom"/>
            <w:hideMark/>
          </w:tcPr>
          <w:p w14:paraId="63DCD79A" w14:textId="3A7F8674"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1.30</w:t>
            </w:r>
          </w:p>
        </w:tc>
        <w:tc>
          <w:tcPr>
            <w:tcW w:w="960" w:type="dxa"/>
            <w:tcBorders>
              <w:top w:val="nil"/>
              <w:left w:val="single" w:sz="4" w:space="0" w:color="auto"/>
              <w:bottom w:val="nil"/>
              <w:right w:val="nil"/>
            </w:tcBorders>
            <w:shd w:val="clear" w:color="auto" w:fill="auto"/>
            <w:noWrap/>
            <w:vAlign w:val="bottom"/>
            <w:hideMark/>
          </w:tcPr>
          <w:p w14:paraId="2A48257C" w14:textId="7FFB33F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2.00</w:t>
            </w:r>
          </w:p>
        </w:tc>
        <w:tc>
          <w:tcPr>
            <w:tcW w:w="960" w:type="dxa"/>
            <w:tcBorders>
              <w:top w:val="nil"/>
              <w:left w:val="nil"/>
              <w:bottom w:val="nil"/>
              <w:right w:val="single" w:sz="4" w:space="0" w:color="auto"/>
            </w:tcBorders>
            <w:shd w:val="clear" w:color="auto" w:fill="auto"/>
            <w:noWrap/>
            <w:vAlign w:val="bottom"/>
            <w:hideMark/>
          </w:tcPr>
          <w:p w14:paraId="2CD2C729" w14:textId="7E3B954C"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0.33</w:t>
            </w:r>
          </w:p>
        </w:tc>
        <w:tc>
          <w:tcPr>
            <w:tcW w:w="960" w:type="dxa"/>
            <w:tcBorders>
              <w:top w:val="nil"/>
              <w:left w:val="nil"/>
              <w:bottom w:val="nil"/>
              <w:right w:val="nil"/>
            </w:tcBorders>
            <w:shd w:val="clear" w:color="auto" w:fill="auto"/>
            <w:noWrap/>
            <w:vAlign w:val="bottom"/>
            <w:hideMark/>
          </w:tcPr>
          <w:p w14:paraId="2D2F43D1" w14:textId="54EDA39E"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0.94</w:t>
            </w:r>
          </w:p>
        </w:tc>
        <w:tc>
          <w:tcPr>
            <w:tcW w:w="820" w:type="dxa"/>
            <w:tcBorders>
              <w:top w:val="nil"/>
              <w:left w:val="nil"/>
              <w:bottom w:val="nil"/>
              <w:right w:val="nil"/>
            </w:tcBorders>
            <w:shd w:val="clear" w:color="auto" w:fill="auto"/>
            <w:noWrap/>
            <w:vAlign w:val="bottom"/>
            <w:hideMark/>
          </w:tcPr>
          <w:p w14:paraId="09496D30" w14:textId="232DFAD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12.74</w:t>
            </w:r>
          </w:p>
        </w:tc>
        <w:tc>
          <w:tcPr>
            <w:tcW w:w="960" w:type="dxa"/>
            <w:tcBorders>
              <w:top w:val="nil"/>
              <w:left w:val="single" w:sz="4" w:space="0" w:color="auto"/>
              <w:bottom w:val="nil"/>
              <w:right w:val="single" w:sz="4" w:space="0" w:color="auto"/>
            </w:tcBorders>
            <w:shd w:val="clear" w:color="auto" w:fill="auto"/>
            <w:noWrap/>
            <w:vAlign w:val="bottom"/>
            <w:hideMark/>
          </w:tcPr>
          <w:p w14:paraId="60EE901E" w14:textId="566D7E7F"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2.0</w:t>
            </w:r>
          </w:p>
        </w:tc>
      </w:tr>
      <w:tr w:rsidR="005F121A" w:rsidRPr="007C740F" w14:paraId="1C69B71A" w14:textId="77777777" w:rsidTr="0079682B">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3477AF08"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WPR</w:t>
            </w:r>
          </w:p>
        </w:tc>
        <w:tc>
          <w:tcPr>
            <w:tcW w:w="960" w:type="dxa"/>
            <w:tcBorders>
              <w:top w:val="nil"/>
              <w:left w:val="nil"/>
              <w:bottom w:val="nil"/>
              <w:right w:val="nil"/>
            </w:tcBorders>
            <w:shd w:val="clear" w:color="auto" w:fill="auto"/>
            <w:noWrap/>
            <w:vAlign w:val="bottom"/>
            <w:hideMark/>
          </w:tcPr>
          <w:p w14:paraId="6E82A271" w14:textId="6675849E"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24.92</w:t>
            </w:r>
          </w:p>
        </w:tc>
        <w:tc>
          <w:tcPr>
            <w:tcW w:w="989" w:type="dxa"/>
            <w:tcBorders>
              <w:top w:val="nil"/>
              <w:left w:val="nil"/>
              <w:bottom w:val="nil"/>
              <w:right w:val="nil"/>
            </w:tcBorders>
            <w:shd w:val="clear" w:color="auto" w:fill="auto"/>
            <w:noWrap/>
            <w:vAlign w:val="bottom"/>
            <w:hideMark/>
          </w:tcPr>
          <w:p w14:paraId="249EAF68" w14:textId="17C3DACE"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47.79</w:t>
            </w:r>
          </w:p>
        </w:tc>
        <w:tc>
          <w:tcPr>
            <w:tcW w:w="960" w:type="dxa"/>
            <w:tcBorders>
              <w:top w:val="nil"/>
              <w:left w:val="nil"/>
              <w:bottom w:val="nil"/>
              <w:right w:val="nil"/>
            </w:tcBorders>
            <w:shd w:val="clear" w:color="auto" w:fill="auto"/>
            <w:noWrap/>
            <w:vAlign w:val="bottom"/>
            <w:hideMark/>
          </w:tcPr>
          <w:p w14:paraId="76BBE10D" w14:textId="58C11DB0"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10.56</w:t>
            </w:r>
          </w:p>
        </w:tc>
        <w:tc>
          <w:tcPr>
            <w:tcW w:w="960" w:type="dxa"/>
            <w:tcBorders>
              <w:top w:val="nil"/>
              <w:left w:val="single" w:sz="4" w:space="0" w:color="auto"/>
              <w:bottom w:val="nil"/>
              <w:right w:val="nil"/>
            </w:tcBorders>
            <w:shd w:val="clear" w:color="auto" w:fill="auto"/>
            <w:noWrap/>
            <w:vAlign w:val="bottom"/>
            <w:hideMark/>
          </w:tcPr>
          <w:p w14:paraId="20B59960" w14:textId="3480C91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12.41</w:t>
            </w:r>
          </w:p>
        </w:tc>
        <w:tc>
          <w:tcPr>
            <w:tcW w:w="960" w:type="dxa"/>
            <w:tcBorders>
              <w:top w:val="nil"/>
              <w:left w:val="nil"/>
              <w:bottom w:val="nil"/>
              <w:right w:val="single" w:sz="4" w:space="0" w:color="auto"/>
            </w:tcBorders>
            <w:shd w:val="clear" w:color="auto" w:fill="auto"/>
            <w:noWrap/>
            <w:vAlign w:val="bottom"/>
            <w:hideMark/>
          </w:tcPr>
          <w:p w14:paraId="71C9AFD8" w14:textId="0359A46C"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2.64</w:t>
            </w:r>
          </w:p>
        </w:tc>
        <w:tc>
          <w:tcPr>
            <w:tcW w:w="960" w:type="dxa"/>
            <w:tcBorders>
              <w:top w:val="nil"/>
              <w:left w:val="nil"/>
              <w:bottom w:val="nil"/>
              <w:right w:val="nil"/>
            </w:tcBorders>
            <w:shd w:val="clear" w:color="auto" w:fill="auto"/>
            <w:noWrap/>
            <w:vAlign w:val="bottom"/>
            <w:hideMark/>
          </w:tcPr>
          <w:p w14:paraId="616BE59B" w14:textId="6A294FF8"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3.15</w:t>
            </w:r>
          </w:p>
        </w:tc>
        <w:tc>
          <w:tcPr>
            <w:tcW w:w="820" w:type="dxa"/>
            <w:tcBorders>
              <w:top w:val="nil"/>
              <w:left w:val="nil"/>
              <w:bottom w:val="nil"/>
              <w:right w:val="nil"/>
            </w:tcBorders>
            <w:shd w:val="clear" w:color="auto" w:fill="auto"/>
            <w:noWrap/>
            <w:vAlign w:val="bottom"/>
            <w:hideMark/>
          </w:tcPr>
          <w:p w14:paraId="03545A22" w14:textId="3472D648"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37.94</w:t>
            </w:r>
          </w:p>
        </w:tc>
        <w:tc>
          <w:tcPr>
            <w:tcW w:w="960" w:type="dxa"/>
            <w:tcBorders>
              <w:top w:val="nil"/>
              <w:left w:val="single" w:sz="4" w:space="0" w:color="auto"/>
              <w:bottom w:val="nil"/>
              <w:right w:val="single" w:sz="4" w:space="0" w:color="auto"/>
            </w:tcBorders>
            <w:shd w:val="clear" w:color="auto" w:fill="auto"/>
            <w:noWrap/>
            <w:vAlign w:val="bottom"/>
            <w:hideMark/>
          </w:tcPr>
          <w:p w14:paraId="56127044" w14:textId="1246464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11.7</w:t>
            </w:r>
          </w:p>
        </w:tc>
      </w:tr>
      <w:tr w:rsidR="005F121A" w:rsidRPr="007C740F" w14:paraId="74F6F684" w14:textId="77777777" w:rsidTr="0079682B">
        <w:trPr>
          <w:trHeight w:val="315"/>
          <w:jc w:val="center"/>
        </w:trPr>
        <w:tc>
          <w:tcPr>
            <w:tcW w:w="96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EA2151F"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World</w:t>
            </w:r>
          </w:p>
        </w:tc>
        <w:tc>
          <w:tcPr>
            <w:tcW w:w="960" w:type="dxa"/>
            <w:tcBorders>
              <w:top w:val="single" w:sz="4" w:space="0" w:color="auto"/>
              <w:left w:val="nil"/>
              <w:bottom w:val="double" w:sz="6" w:space="0" w:color="auto"/>
              <w:right w:val="nil"/>
            </w:tcBorders>
            <w:shd w:val="clear" w:color="auto" w:fill="auto"/>
            <w:noWrap/>
            <w:vAlign w:val="bottom"/>
            <w:hideMark/>
          </w:tcPr>
          <w:p w14:paraId="4B111456" w14:textId="71C679DF"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8.63</w:t>
            </w:r>
          </w:p>
        </w:tc>
        <w:tc>
          <w:tcPr>
            <w:tcW w:w="989" w:type="dxa"/>
            <w:tcBorders>
              <w:top w:val="single" w:sz="4" w:space="0" w:color="auto"/>
              <w:left w:val="nil"/>
              <w:bottom w:val="double" w:sz="6" w:space="0" w:color="auto"/>
              <w:right w:val="nil"/>
            </w:tcBorders>
            <w:shd w:val="clear" w:color="auto" w:fill="auto"/>
            <w:noWrap/>
            <w:vAlign w:val="bottom"/>
            <w:hideMark/>
          </w:tcPr>
          <w:p w14:paraId="69460B6B" w14:textId="023A4CF1"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13.69</w:t>
            </w:r>
          </w:p>
        </w:tc>
        <w:tc>
          <w:tcPr>
            <w:tcW w:w="960" w:type="dxa"/>
            <w:tcBorders>
              <w:top w:val="single" w:sz="4" w:space="0" w:color="auto"/>
              <w:left w:val="nil"/>
              <w:bottom w:val="double" w:sz="6" w:space="0" w:color="auto"/>
              <w:right w:val="nil"/>
            </w:tcBorders>
            <w:shd w:val="clear" w:color="auto" w:fill="auto"/>
            <w:noWrap/>
            <w:vAlign w:val="bottom"/>
            <w:hideMark/>
          </w:tcPr>
          <w:p w14:paraId="3F310274" w14:textId="3727A8F0"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2.88</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5637FC46" w14:textId="23FB614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3.17</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14:paraId="3CD5E4FE" w14:textId="040C688E"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0.72</w:t>
            </w:r>
          </w:p>
        </w:tc>
        <w:tc>
          <w:tcPr>
            <w:tcW w:w="960" w:type="dxa"/>
            <w:tcBorders>
              <w:top w:val="single" w:sz="4" w:space="0" w:color="auto"/>
              <w:left w:val="nil"/>
              <w:bottom w:val="double" w:sz="6" w:space="0" w:color="auto"/>
              <w:right w:val="nil"/>
            </w:tcBorders>
            <w:shd w:val="clear" w:color="auto" w:fill="auto"/>
            <w:noWrap/>
            <w:vAlign w:val="bottom"/>
            <w:hideMark/>
          </w:tcPr>
          <w:p w14:paraId="74BEBCC3" w14:textId="71FAF9C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0.92</w:t>
            </w:r>
          </w:p>
        </w:tc>
        <w:tc>
          <w:tcPr>
            <w:tcW w:w="820" w:type="dxa"/>
            <w:tcBorders>
              <w:top w:val="single" w:sz="4" w:space="0" w:color="auto"/>
              <w:left w:val="nil"/>
              <w:bottom w:val="double" w:sz="6" w:space="0" w:color="auto"/>
              <w:right w:val="nil"/>
            </w:tcBorders>
            <w:shd w:val="clear" w:color="auto" w:fill="auto"/>
            <w:noWrap/>
            <w:vAlign w:val="bottom"/>
            <w:hideMark/>
          </w:tcPr>
          <w:p w14:paraId="545C7289" w14:textId="73DC6B2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2.81</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79A2C89C" w14:textId="5B90264B"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2.8</w:t>
            </w:r>
          </w:p>
        </w:tc>
      </w:tr>
      <w:tr w:rsidR="005F121A" w:rsidRPr="007C740F" w14:paraId="66F51B3B" w14:textId="77777777" w:rsidTr="0079682B">
        <w:trPr>
          <w:trHeight w:val="315"/>
          <w:jc w:val="center"/>
        </w:trPr>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415C0AE2" w14:textId="77777777" w:rsidR="005F121A" w:rsidRPr="007C740F" w:rsidRDefault="005F121A" w:rsidP="005F121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 Europe</w:t>
            </w:r>
          </w:p>
        </w:tc>
        <w:tc>
          <w:tcPr>
            <w:tcW w:w="960" w:type="dxa"/>
            <w:tcBorders>
              <w:top w:val="nil"/>
              <w:left w:val="nil"/>
              <w:bottom w:val="single" w:sz="4" w:space="0" w:color="auto"/>
              <w:right w:val="nil"/>
            </w:tcBorders>
            <w:shd w:val="clear" w:color="auto" w:fill="auto"/>
            <w:noWrap/>
            <w:vAlign w:val="bottom"/>
            <w:hideMark/>
          </w:tcPr>
          <w:p w14:paraId="031A4D5B" w14:textId="31876261"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57.03</w:t>
            </w:r>
          </w:p>
        </w:tc>
        <w:tc>
          <w:tcPr>
            <w:tcW w:w="989" w:type="dxa"/>
            <w:tcBorders>
              <w:top w:val="nil"/>
              <w:left w:val="nil"/>
              <w:bottom w:val="single" w:sz="4" w:space="0" w:color="auto"/>
              <w:right w:val="nil"/>
            </w:tcBorders>
            <w:shd w:val="clear" w:color="auto" w:fill="auto"/>
            <w:noWrap/>
            <w:vAlign w:val="bottom"/>
            <w:hideMark/>
          </w:tcPr>
          <w:p w14:paraId="231659F4" w14:textId="781BA84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64.79</w:t>
            </w:r>
          </w:p>
        </w:tc>
        <w:tc>
          <w:tcPr>
            <w:tcW w:w="960" w:type="dxa"/>
            <w:tcBorders>
              <w:top w:val="nil"/>
              <w:left w:val="nil"/>
              <w:bottom w:val="single" w:sz="4" w:space="0" w:color="auto"/>
              <w:right w:val="nil"/>
            </w:tcBorders>
            <w:shd w:val="clear" w:color="auto" w:fill="auto"/>
            <w:noWrap/>
            <w:vAlign w:val="bottom"/>
            <w:hideMark/>
          </w:tcPr>
          <w:p w14:paraId="2B859A78" w14:textId="167806A3"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13.23</w:t>
            </w:r>
          </w:p>
        </w:tc>
        <w:tc>
          <w:tcPr>
            <w:tcW w:w="960" w:type="dxa"/>
            <w:tcBorders>
              <w:top w:val="nil"/>
              <w:left w:val="single" w:sz="4" w:space="0" w:color="auto"/>
              <w:bottom w:val="single" w:sz="4" w:space="0" w:color="auto"/>
              <w:right w:val="nil"/>
            </w:tcBorders>
            <w:shd w:val="clear" w:color="auto" w:fill="auto"/>
            <w:noWrap/>
            <w:vAlign w:val="bottom"/>
            <w:hideMark/>
          </w:tcPr>
          <w:p w14:paraId="3F83BA3F" w14:textId="361FC1B0"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9.11</w:t>
            </w:r>
          </w:p>
        </w:tc>
        <w:tc>
          <w:tcPr>
            <w:tcW w:w="960" w:type="dxa"/>
            <w:tcBorders>
              <w:top w:val="nil"/>
              <w:left w:val="nil"/>
              <w:bottom w:val="single" w:sz="4" w:space="0" w:color="auto"/>
              <w:right w:val="single" w:sz="4" w:space="0" w:color="auto"/>
            </w:tcBorders>
            <w:shd w:val="clear" w:color="auto" w:fill="auto"/>
            <w:noWrap/>
            <w:vAlign w:val="bottom"/>
            <w:hideMark/>
          </w:tcPr>
          <w:p w14:paraId="3B8CD5C2" w14:textId="390CD052"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3.20</w:t>
            </w:r>
          </w:p>
        </w:tc>
        <w:tc>
          <w:tcPr>
            <w:tcW w:w="960" w:type="dxa"/>
            <w:tcBorders>
              <w:top w:val="nil"/>
              <w:left w:val="nil"/>
              <w:bottom w:val="single" w:sz="4" w:space="0" w:color="auto"/>
              <w:right w:val="nil"/>
            </w:tcBorders>
            <w:shd w:val="clear" w:color="auto" w:fill="auto"/>
            <w:noWrap/>
            <w:vAlign w:val="bottom"/>
            <w:hideMark/>
          </w:tcPr>
          <w:p w14:paraId="24F14945" w14:textId="1E997EDA"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4.12</w:t>
            </w:r>
          </w:p>
        </w:tc>
        <w:tc>
          <w:tcPr>
            <w:tcW w:w="820" w:type="dxa"/>
            <w:tcBorders>
              <w:top w:val="nil"/>
              <w:left w:val="nil"/>
              <w:bottom w:val="single" w:sz="4" w:space="0" w:color="auto"/>
              <w:right w:val="nil"/>
            </w:tcBorders>
            <w:shd w:val="clear" w:color="auto" w:fill="auto"/>
            <w:noWrap/>
            <w:vAlign w:val="bottom"/>
            <w:hideMark/>
          </w:tcPr>
          <w:p w14:paraId="5794B515" w14:textId="153BBCD3"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41.25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F3B85F" w14:textId="1BE708AD" w:rsidR="005F121A" w:rsidRPr="007C740F" w:rsidRDefault="005F121A" w:rsidP="005F121A">
            <w:pPr>
              <w:spacing w:after="0" w:line="240" w:lineRule="auto"/>
              <w:jc w:val="center"/>
              <w:rPr>
                <w:rFonts w:ascii="Calibri" w:eastAsia="Times New Roman" w:hAnsi="Calibri" w:cs="Times New Roman"/>
                <w:color w:val="000000"/>
                <w:sz w:val="18"/>
                <w:szCs w:val="18"/>
                <w:lang w:eastAsia="en-GB"/>
              </w:rPr>
            </w:pPr>
            <w:r w:rsidRPr="007C740F">
              <w:rPr>
                <w:rFonts w:ascii="Calibri" w:hAnsi="Calibri" w:cs="Calibri"/>
                <w:color w:val="000000"/>
                <w:sz w:val="18"/>
                <w:szCs w:val="18"/>
              </w:rPr>
              <w:t>14.7</w:t>
            </w:r>
          </w:p>
        </w:tc>
      </w:tr>
    </w:tbl>
    <w:p w14:paraId="1598F6E0" w14:textId="77777777" w:rsidR="00FA3783" w:rsidRPr="007C740F" w:rsidRDefault="00FA3783" w:rsidP="00BF4385">
      <w:pPr>
        <w:pStyle w:val="Heading2"/>
      </w:pPr>
      <w:bookmarkStart w:id="29" w:name="_Toc193659680"/>
      <w:r w:rsidRPr="007C740F">
        <w:t>Early diagnosis and care</w:t>
      </w:r>
      <w:bookmarkEnd w:id="29"/>
    </w:p>
    <w:p w14:paraId="2843A254" w14:textId="6897CB7F" w:rsidR="00FA3783" w:rsidRPr="007C740F" w:rsidRDefault="00592D5A" w:rsidP="00F555B6">
      <w:pPr>
        <w:pStyle w:val="BodyText1"/>
        <w:jc w:val="both"/>
      </w:pPr>
      <w:r w:rsidRPr="007C740F">
        <w:t xml:space="preserve">The </w:t>
      </w:r>
      <w:r w:rsidR="00494C07" w:rsidRPr="007C740F">
        <w:t xml:space="preserve">ultimate </w:t>
      </w:r>
      <w:r w:rsidRPr="007C740F">
        <w:t xml:space="preserve">objective of </w:t>
      </w:r>
      <w:r w:rsidR="00825E8B" w:rsidRPr="007C740F">
        <w:t xml:space="preserve">patient care </w:t>
      </w:r>
      <w:r w:rsidRPr="007C740F">
        <w:t>is to enable a normal length and quality of life</w:t>
      </w:r>
      <w:r w:rsidR="00494C07" w:rsidRPr="007C740F">
        <w:t>.</w:t>
      </w:r>
      <w:r w:rsidRPr="007C740F">
        <w:t xml:space="preserve"> This can be fully achieved </w:t>
      </w:r>
      <w:r w:rsidR="00CC5B22" w:rsidRPr="007C740F">
        <w:t xml:space="preserve">for neonatal jaundice and </w:t>
      </w:r>
      <w:r w:rsidR="00494C07" w:rsidRPr="007C740F">
        <w:t xml:space="preserve">the </w:t>
      </w:r>
      <w:r w:rsidR="00FA3783" w:rsidRPr="007C740F">
        <w:t xml:space="preserve">approximately 70% of congenital malformations </w:t>
      </w:r>
      <w:r w:rsidR="00B93CC0" w:rsidRPr="007C740F">
        <w:t>that can be corrected</w:t>
      </w:r>
      <w:r w:rsidR="00CC5B22" w:rsidRPr="007C740F">
        <w:t xml:space="preserve"> by </w:t>
      </w:r>
      <w:r w:rsidR="00FA3783" w:rsidRPr="007C740F">
        <w:t xml:space="preserve">paediatric </w:t>
      </w:r>
      <w:r w:rsidR="002A52A5" w:rsidRPr="007C740F">
        <w:t>surgery but</w:t>
      </w:r>
      <w:r w:rsidR="00DD03FD" w:rsidRPr="007C740F">
        <w:t xml:space="preserve"> </w:t>
      </w:r>
      <w:r w:rsidR="00CC5B22" w:rsidRPr="007C740F">
        <w:t xml:space="preserve">is only partially feasible for incurable disorders. In </w:t>
      </w:r>
      <w:r w:rsidR="00DD03FD" w:rsidRPr="007C740F">
        <w:t xml:space="preserve">such cases </w:t>
      </w:r>
      <w:r w:rsidR="00FA3783" w:rsidRPr="007C740F">
        <w:t xml:space="preserve">reduction in early mortality </w:t>
      </w:r>
      <w:r w:rsidR="00375911" w:rsidRPr="007C740F">
        <w:t xml:space="preserve">leads to a cumulative increase in numbers surviving </w:t>
      </w:r>
      <w:r w:rsidR="00CC5B22" w:rsidRPr="007C740F">
        <w:t xml:space="preserve">with disability and </w:t>
      </w:r>
      <w:r w:rsidR="00FA3783" w:rsidRPr="007C740F">
        <w:t>long-term service needs. Th</w:t>
      </w:r>
      <w:r w:rsidR="001F4ABE" w:rsidRPr="007C740F">
        <w:t xml:space="preserve">e progressive increase </w:t>
      </w:r>
      <w:r w:rsidR="00FA3783" w:rsidRPr="007C740F">
        <w:t>is particularly marked for single gene disorders</w:t>
      </w:r>
      <w:r w:rsidR="00DD03FD" w:rsidRPr="007C740F">
        <w:t>.</w:t>
      </w:r>
    </w:p>
    <w:p w14:paraId="45B737C6" w14:textId="77777777" w:rsidR="00151A8C" w:rsidRPr="007C740F" w:rsidRDefault="00151A8C" w:rsidP="005A7291">
      <w:pPr>
        <w:pStyle w:val="Heading2"/>
      </w:pPr>
      <w:bookmarkStart w:id="30" w:name="_Toc193659681"/>
      <w:r w:rsidRPr="007C740F">
        <w:t>Summary</w:t>
      </w:r>
      <w:bookmarkEnd w:id="30"/>
    </w:p>
    <w:p w14:paraId="20E376CE" w14:textId="1E2606B7" w:rsidR="003345DA" w:rsidRPr="007C740F" w:rsidRDefault="00494C07" w:rsidP="00F555B6">
      <w:pPr>
        <w:pStyle w:val="BodyText1"/>
        <w:jc w:val="both"/>
      </w:pPr>
      <w:r w:rsidRPr="007C740F">
        <w:t>Table 8 shows that g</w:t>
      </w:r>
      <w:r w:rsidR="003345DA" w:rsidRPr="007C740F">
        <w:t>lobally</w:t>
      </w:r>
      <w:r w:rsidRPr="007C740F">
        <w:t>,</w:t>
      </w:r>
      <w:r w:rsidR="003345DA" w:rsidRPr="007C740F">
        <w:t xml:space="preserve"> current interventions </w:t>
      </w:r>
      <w:r w:rsidRPr="007C740F">
        <w:t xml:space="preserve">may </w:t>
      </w:r>
      <w:r w:rsidR="003345DA" w:rsidRPr="007C740F">
        <w:t>have reduced adverse outcomes of</w:t>
      </w:r>
      <w:r w:rsidR="00871319" w:rsidRPr="007C740F">
        <w:t xml:space="preserve"> endogenous</w:t>
      </w:r>
      <w:r w:rsidR="003345DA" w:rsidRPr="007C740F">
        <w:t xml:space="preserve"> congenital disorders by around 20%</w:t>
      </w:r>
      <w:r w:rsidRPr="007C740F">
        <w:t xml:space="preserve">. Table 9 shows that the </w:t>
      </w:r>
      <w:r w:rsidR="003345DA" w:rsidRPr="007C740F">
        <w:t>maximum reduction with full implementation of int</w:t>
      </w:r>
      <w:r w:rsidR="003B76EB" w:rsidRPr="007C740F">
        <w:t>erventions would be around 55%.</w:t>
      </w:r>
      <w:r w:rsidR="00C77ECD" w:rsidRPr="007C740F">
        <w:t xml:space="preserve"> Tables 10 and 11 compare </w:t>
      </w:r>
      <w:r w:rsidR="00C77ECD" w:rsidRPr="007C740F">
        <w:lastRenderedPageBreak/>
        <w:t>estimated actual reduction in adverse outcomes due to interventions in 2020-24, with the potential reduction if all interventions were fully implemented by type of intervention.</w:t>
      </w:r>
    </w:p>
    <w:p w14:paraId="046FCE75" w14:textId="4F287CF8" w:rsidR="00796C09" w:rsidRPr="007C740F" w:rsidRDefault="00796C09" w:rsidP="003345DA">
      <w:pPr>
        <w:pStyle w:val="Tableheading"/>
      </w:pPr>
      <w:r w:rsidRPr="007C740F">
        <w:t xml:space="preserve">Table </w:t>
      </w:r>
      <w:r w:rsidR="008B0B70" w:rsidRPr="007C740F">
        <w:t>10</w:t>
      </w:r>
      <w:r w:rsidRPr="007C740F">
        <w:t xml:space="preserve">. </w:t>
      </w:r>
      <w:r w:rsidR="00A856AF" w:rsidRPr="007C740F">
        <w:t>E</w:t>
      </w:r>
      <w:r w:rsidR="00871319" w:rsidRPr="007C740F">
        <w:t>ndogenous</w:t>
      </w:r>
      <w:r w:rsidRPr="007C740F">
        <w:t xml:space="preserve"> congenital disorders. Estimate</w:t>
      </w:r>
      <w:r w:rsidR="003B76EB" w:rsidRPr="007C740F">
        <w:t xml:space="preserve">d </w:t>
      </w:r>
      <w:r w:rsidR="003345DA" w:rsidRPr="007C740F">
        <w:t>actual reduction in adverse outcomes</w:t>
      </w:r>
      <w:r w:rsidR="00A856AF" w:rsidRPr="007C740F">
        <w:t xml:space="preserve"> 2020-24,</w:t>
      </w:r>
      <w:r w:rsidR="003345DA" w:rsidRPr="007C740F">
        <w:t xml:space="preserve"> </w:t>
      </w:r>
      <w:r w:rsidR="00D34994" w:rsidRPr="007C740F">
        <w:t>by type of intervention</w:t>
      </w:r>
      <w:r w:rsidR="00A856AF" w:rsidRPr="007C740F">
        <w:t xml:space="preserve"> and WHO</w:t>
      </w:r>
      <w:r w:rsidR="00D34994" w:rsidRPr="007C740F">
        <w:t>.</w:t>
      </w:r>
      <w:r w:rsidR="00483AAA" w:rsidRPr="007C740F">
        <w:t xml:space="preserve"> </w:t>
      </w:r>
    </w:p>
    <w:tbl>
      <w:tblPr>
        <w:tblW w:w="7866" w:type="dxa"/>
        <w:jc w:val="center"/>
        <w:tblLook w:val="04A0" w:firstRow="1" w:lastRow="0" w:firstColumn="1" w:lastColumn="0" w:noHBand="0" w:noVBand="1"/>
      </w:tblPr>
      <w:tblGrid>
        <w:gridCol w:w="1035"/>
        <w:gridCol w:w="840"/>
        <w:gridCol w:w="827"/>
        <w:gridCol w:w="679"/>
        <w:gridCol w:w="709"/>
        <w:gridCol w:w="572"/>
        <w:gridCol w:w="540"/>
        <w:gridCol w:w="627"/>
        <w:gridCol w:w="970"/>
        <w:gridCol w:w="1067"/>
      </w:tblGrid>
      <w:tr w:rsidR="003B76EB" w:rsidRPr="007C740F" w14:paraId="3778DCD2" w14:textId="77777777" w:rsidTr="00494C07">
        <w:trPr>
          <w:trHeight w:val="284"/>
          <w:jc w:val="center"/>
        </w:trPr>
        <w:tc>
          <w:tcPr>
            <w:tcW w:w="1035" w:type="dxa"/>
            <w:vMerge w:val="restart"/>
            <w:tcBorders>
              <w:top w:val="single" w:sz="4" w:space="0" w:color="auto"/>
              <w:left w:val="single" w:sz="4" w:space="0" w:color="auto"/>
              <w:right w:val="single" w:sz="4" w:space="0" w:color="auto"/>
            </w:tcBorders>
            <w:shd w:val="clear" w:color="auto" w:fill="auto"/>
            <w:vAlign w:val="center"/>
          </w:tcPr>
          <w:p w14:paraId="505014D4" w14:textId="77777777" w:rsidR="003B76EB" w:rsidRPr="007C740F" w:rsidRDefault="003B76EB" w:rsidP="00D34994">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WHO  region</w:t>
            </w:r>
          </w:p>
        </w:tc>
        <w:tc>
          <w:tcPr>
            <w:tcW w:w="840" w:type="dxa"/>
            <w:vMerge w:val="restart"/>
            <w:tcBorders>
              <w:top w:val="single" w:sz="4" w:space="0" w:color="auto"/>
              <w:left w:val="single" w:sz="4" w:space="0" w:color="auto"/>
              <w:right w:val="nil"/>
            </w:tcBorders>
            <w:shd w:val="clear" w:color="auto" w:fill="auto"/>
            <w:vAlign w:val="center"/>
          </w:tcPr>
          <w:p w14:paraId="2B3BD6F1" w14:textId="77777777" w:rsidR="003B76EB" w:rsidRPr="007C740F" w:rsidRDefault="003B76EB" w:rsidP="00D34994">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WPP births 1,000s</w:t>
            </w:r>
          </w:p>
        </w:tc>
        <w:tc>
          <w:tcPr>
            <w:tcW w:w="827" w:type="dxa"/>
            <w:vMerge w:val="restart"/>
            <w:tcBorders>
              <w:top w:val="single" w:sz="4" w:space="0" w:color="auto"/>
              <w:left w:val="single" w:sz="4" w:space="0" w:color="auto"/>
              <w:right w:val="nil"/>
            </w:tcBorders>
            <w:shd w:val="clear" w:color="auto" w:fill="auto"/>
            <w:vAlign w:val="center"/>
          </w:tcPr>
          <w:p w14:paraId="31B1B1CB"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Total baseline births /1,000</w:t>
            </w:r>
          </w:p>
        </w:tc>
        <w:tc>
          <w:tcPr>
            <w:tcW w:w="51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FE9536"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Actual reduction due to interventions</w:t>
            </w:r>
          </w:p>
        </w:tc>
      </w:tr>
      <w:tr w:rsidR="003B76EB" w:rsidRPr="007C740F" w14:paraId="57E7CEF1" w14:textId="77777777" w:rsidTr="00494C07">
        <w:trPr>
          <w:trHeight w:val="284"/>
          <w:jc w:val="center"/>
        </w:trPr>
        <w:tc>
          <w:tcPr>
            <w:tcW w:w="1035" w:type="dxa"/>
            <w:vMerge/>
            <w:tcBorders>
              <w:left w:val="single" w:sz="4" w:space="0" w:color="auto"/>
              <w:right w:val="single" w:sz="4" w:space="0" w:color="auto"/>
            </w:tcBorders>
            <w:shd w:val="clear" w:color="auto" w:fill="auto"/>
            <w:vAlign w:val="center"/>
          </w:tcPr>
          <w:p w14:paraId="32BC3FA1" w14:textId="77777777" w:rsidR="003B76EB" w:rsidRPr="007C740F" w:rsidRDefault="003B76EB" w:rsidP="00796C09">
            <w:pPr>
              <w:spacing w:after="0" w:line="240" w:lineRule="auto"/>
              <w:rPr>
                <w:rFonts w:eastAsia="Times New Roman" w:cs="Times New Roman"/>
                <w:color w:val="000000"/>
                <w:sz w:val="18"/>
                <w:szCs w:val="18"/>
                <w:lang w:eastAsia="en-GB"/>
              </w:rPr>
            </w:pPr>
          </w:p>
        </w:tc>
        <w:tc>
          <w:tcPr>
            <w:tcW w:w="840" w:type="dxa"/>
            <w:vMerge/>
            <w:tcBorders>
              <w:left w:val="single" w:sz="4" w:space="0" w:color="auto"/>
              <w:right w:val="nil"/>
            </w:tcBorders>
            <w:shd w:val="clear" w:color="auto" w:fill="auto"/>
            <w:vAlign w:val="center"/>
          </w:tcPr>
          <w:p w14:paraId="7AE1C712" w14:textId="77777777" w:rsidR="003B76EB" w:rsidRPr="007C740F" w:rsidRDefault="003B76EB" w:rsidP="00796C09">
            <w:pPr>
              <w:spacing w:after="0" w:line="240" w:lineRule="auto"/>
              <w:rPr>
                <w:rFonts w:eastAsia="Times New Roman" w:cs="Times New Roman"/>
                <w:color w:val="000000"/>
                <w:sz w:val="18"/>
                <w:szCs w:val="18"/>
                <w:lang w:eastAsia="en-GB"/>
              </w:rPr>
            </w:pPr>
          </w:p>
        </w:tc>
        <w:tc>
          <w:tcPr>
            <w:tcW w:w="827" w:type="dxa"/>
            <w:vMerge/>
            <w:tcBorders>
              <w:left w:val="single" w:sz="4" w:space="0" w:color="auto"/>
              <w:right w:val="nil"/>
            </w:tcBorders>
            <w:shd w:val="clear" w:color="auto" w:fill="auto"/>
            <w:vAlign w:val="center"/>
          </w:tcPr>
          <w:p w14:paraId="429EF799" w14:textId="77777777" w:rsidR="003B76EB" w:rsidRPr="007C740F" w:rsidRDefault="003B76EB" w:rsidP="00796C09">
            <w:pPr>
              <w:spacing w:after="0" w:line="240" w:lineRule="auto"/>
              <w:jc w:val="center"/>
              <w:rPr>
                <w:rFonts w:eastAsia="Times New Roman" w:cs="Times New Roman"/>
                <w:color w:val="000000"/>
                <w:sz w:val="18"/>
                <w:szCs w:val="18"/>
                <w:lang w:eastAsia="en-GB"/>
              </w:rPr>
            </w:pPr>
          </w:p>
        </w:tc>
        <w:tc>
          <w:tcPr>
            <w:tcW w:w="4097" w:type="dxa"/>
            <w:gridSpan w:val="6"/>
            <w:tcBorders>
              <w:top w:val="nil"/>
              <w:left w:val="single" w:sz="4" w:space="0" w:color="auto"/>
              <w:bottom w:val="single" w:sz="4" w:space="0" w:color="auto"/>
              <w:right w:val="single" w:sz="4" w:space="0" w:color="auto"/>
            </w:tcBorders>
            <w:shd w:val="clear" w:color="auto" w:fill="auto"/>
            <w:vAlign w:val="center"/>
          </w:tcPr>
          <w:p w14:paraId="678D7E5F"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Rates /1,000 births</w:t>
            </w:r>
          </w:p>
        </w:tc>
        <w:tc>
          <w:tcPr>
            <w:tcW w:w="1067" w:type="dxa"/>
            <w:vMerge w:val="restart"/>
            <w:tcBorders>
              <w:top w:val="nil"/>
              <w:left w:val="single" w:sz="4" w:space="0" w:color="auto"/>
              <w:right w:val="single" w:sz="4" w:space="0" w:color="auto"/>
            </w:tcBorders>
            <w:shd w:val="clear" w:color="auto" w:fill="auto"/>
            <w:vAlign w:val="center"/>
          </w:tcPr>
          <w:p w14:paraId="3A3601E4"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Actual % reduction</w:t>
            </w:r>
          </w:p>
        </w:tc>
      </w:tr>
      <w:tr w:rsidR="003B76EB" w:rsidRPr="007C740F" w14:paraId="3C7C4D10" w14:textId="77777777" w:rsidTr="00494C07">
        <w:trPr>
          <w:trHeight w:val="284"/>
          <w:jc w:val="center"/>
        </w:trPr>
        <w:tc>
          <w:tcPr>
            <w:tcW w:w="1035" w:type="dxa"/>
            <w:vMerge/>
            <w:tcBorders>
              <w:left w:val="single" w:sz="4" w:space="0" w:color="auto"/>
              <w:bottom w:val="single" w:sz="4" w:space="0" w:color="auto"/>
              <w:right w:val="single" w:sz="4" w:space="0" w:color="auto"/>
            </w:tcBorders>
            <w:shd w:val="clear" w:color="auto" w:fill="auto"/>
            <w:vAlign w:val="center"/>
            <w:hideMark/>
          </w:tcPr>
          <w:p w14:paraId="72FAE60A" w14:textId="77777777" w:rsidR="003B76EB" w:rsidRPr="007C740F" w:rsidRDefault="003B76EB" w:rsidP="00796C09">
            <w:pPr>
              <w:spacing w:after="0" w:line="240" w:lineRule="auto"/>
              <w:rPr>
                <w:rFonts w:eastAsia="Times New Roman" w:cs="Times New Roman"/>
                <w:color w:val="000000"/>
                <w:sz w:val="18"/>
                <w:szCs w:val="18"/>
                <w:lang w:eastAsia="en-GB"/>
              </w:rPr>
            </w:pPr>
          </w:p>
        </w:tc>
        <w:tc>
          <w:tcPr>
            <w:tcW w:w="840" w:type="dxa"/>
            <w:vMerge/>
            <w:tcBorders>
              <w:left w:val="single" w:sz="4" w:space="0" w:color="auto"/>
              <w:bottom w:val="single" w:sz="4" w:space="0" w:color="auto"/>
              <w:right w:val="nil"/>
            </w:tcBorders>
            <w:shd w:val="clear" w:color="auto" w:fill="auto"/>
            <w:vAlign w:val="center"/>
            <w:hideMark/>
          </w:tcPr>
          <w:p w14:paraId="1E57FC74" w14:textId="77777777" w:rsidR="003B76EB" w:rsidRPr="007C740F" w:rsidRDefault="003B76EB" w:rsidP="00796C09">
            <w:pPr>
              <w:spacing w:after="0" w:line="240" w:lineRule="auto"/>
              <w:rPr>
                <w:rFonts w:eastAsia="Times New Roman" w:cs="Times New Roman"/>
                <w:color w:val="000000"/>
                <w:sz w:val="18"/>
                <w:szCs w:val="18"/>
                <w:lang w:eastAsia="en-GB"/>
              </w:rPr>
            </w:pPr>
          </w:p>
        </w:tc>
        <w:tc>
          <w:tcPr>
            <w:tcW w:w="827" w:type="dxa"/>
            <w:vMerge/>
            <w:tcBorders>
              <w:left w:val="single" w:sz="4" w:space="0" w:color="auto"/>
              <w:bottom w:val="single" w:sz="4" w:space="0" w:color="auto"/>
              <w:right w:val="nil"/>
            </w:tcBorders>
            <w:shd w:val="clear" w:color="auto" w:fill="auto"/>
            <w:vAlign w:val="center"/>
            <w:hideMark/>
          </w:tcPr>
          <w:p w14:paraId="307CBA7E" w14:textId="77777777" w:rsidR="003B76EB" w:rsidRPr="007C740F" w:rsidRDefault="003B76EB" w:rsidP="00796C09">
            <w:pPr>
              <w:spacing w:after="0" w:line="240" w:lineRule="auto"/>
              <w:jc w:val="center"/>
              <w:rPr>
                <w:rFonts w:eastAsia="Times New Roman" w:cs="Times New Roman"/>
                <w:color w:val="000000"/>
                <w:sz w:val="18"/>
                <w:szCs w:val="18"/>
                <w:lang w:eastAsia="en-GB"/>
              </w:rPr>
            </w:pPr>
          </w:p>
        </w:tc>
        <w:tc>
          <w:tcPr>
            <w:tcW w:w="679" w:type="dxa"/>
            <w:tcBorders>
              <w:top w:val="nil"/>
              <w:left w:val="single" w:sz="4" w:space="0" w:color="auto"/>
              <w:bottom w:val="single" w:sz="4" w:space="0" w:color="auto"/>
              <w:right w:val="nil"/>
            </w:tcBorders>
            <w:shd w:val="clear" w:color="auto" w:fill="auto"/>
            <w:vAlign w:val="center"/>
            <w:hideMark/>
          </w:tcPr>
          <w:p w14:paraId="3C0B5122"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Folic acid</w:t>
            </w:r>
          </w:p>
        </w:tc>
        <w:tc>
          <w:tcPr>
            <w:tcW w:w="709" w:type="dxa"/>
            <w:tcBorders>
              <w:top w:val="nil"/>
              <w:left w:val="nil"/>
              <w:bottom w:val="single" w:sz="4" w:space="0" w:color="auto"/>
              <w:right w:val="nil"/>
            </w:tcBorders>
            <w:shd w:val="clear" w:color="auto" w:fill="auto"/>
            <w:vAlign w:val="center"/>
            <w:hideMark/>
          </w:tcPr>
          <w:p w14:paraId="19346BA2"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Genet. couns.</w:t>
            </w:r>
          </w:p>
        </w:tc>
        <w:tc>
          <w:tcPr>
            <w:tcW w:w="572" w:type="dxa"/>
            <w:tcBorders>
              <w:top w:val="nil"/>
              <w:left w:val="nil"/>
              <w:bottom w:val="single" w:sz="4" w:space="0" w:color="auto"/>
              <w:right w:val="nil"/>
            </w:tcBorders>
            <w:shd w:val="clear" w:color="auto" w:fill="auto"/>
            <w:vAlign w:val="center"/>
            <w:hideMark/>
          </w:tcPr>
          <w:p w14:paraId="0B11D702"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Anti-D</w:t>
            </w:r>
          </w:p>
        </w:tc>
        <w:tc>
          <w:tcPr>
            <w:tcW w:w="540" w:type="dxa"/>
            <w:tcBorders>
              <w:top w:val="nil"/>
              <w:left w:val="nil"/>
              <w:bottom w:val="single" w:sz="4" w:space="0" w:color="auto"/>
              <w:right w:val="nil"/>
            </w:tcBorders>
            <w:shd w:val="clear" w:color="auto" w:fill="auto"/>
            <w:vAlign w:val="center"/>
            <w:hideMark/>
          </w:tcPr>
          <w:p w14:paraId="46722132"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TOP</w:t>
            </w:r>
          </w:p>
        </w:tc>
        <w:tc>
          <w:tcPr>
            <w:tcW w:w="627" w:type="dxa"/>
            <w:tcBorders>
              <w:top w:val="nil"/>
              <w:left w:val="nil"/>
              <w:bottom w:val="single" w:sz="4" w:space="0" w:color="auto"/>
              <w:right w:val="nil"/>
            </w:tcBorders>
            <w:shd w:val="clear" w:color="auto" w:fill="auto"/>
            <w:vAlign w:val="center"/>
            <w:hideMark/>
          </w:tcPr>
          <w:p w14:paraId="23706138" w14:textId="77777777"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Cure</w:t>
            </w:r>
          </w:p>
        </w:tc>
        <w:tc>
          <w:tcPr>
            <w:tcW w:w="970" w:type="dxa"/>
            <w:tcBorders>
              <w:top w:val="nil"/>
              <w:left w:val="single" w:sz="4" w:space="0" w:color="auto"/>
              <w:bottom w:val="single" w:sz="4" w:space="0" w:color="auto"/>
              <w:right w:val="single" w:sz="4" w:space="0" w:color="auto"/>
            </w:tcBorders>
            <w:shd w:val="clear" w:color="auto" w:fill="auto"/>
            <w:vAlign w:val="center"/>
            <w:hideMark/>
          </w:tcPr>
          <w:p w14:paraId="294E63F5" w14:textId="65EC1825" w:rsidR="003B76EB" w:rsidRPr="007C740F" w:rsidRDefault="003B76EB" w:rsidP="00796C0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 xml:space="preserve">Total reduction </w:t>
            </w:r>
            <w:r w:rsidR="00494C07" w:rsidRPr="007C740F">
              <w:rPr>
                <w:rFonts w:eastAsia="Times New Roman" w:cs="Times New Roman"/>
                <w:color w:val="000000"/>
                <w:sz w:val="18"/>
                <w:szCs w:val="18"/>
                <w:lang w:eastAsia="en-GB"/>
              </w:rPr>
              <w:t>2020-24</w:t>
            </w:r>
          </w:p>
        </w:tc>
        <w:tc>
          <w:tcPr>
            <w:tcW w:w="1067" w:type="dxa"/>
            <w:vMerge/>
            <w:tcBorders>
              <w:left w:val="single" w:sz="4" w:space="0" w:color="auto"/>
              <w:bottom w:val="single" w:sz="4" w:space="0" w:color="auto"/>
              <w:right w:val="single" w:sz="4" w:space="0" w:color="auto"/>
            </w:tcBorders>
            <w:shd w:val="clear" w:color="auto" w:fill="auto"/>
            <w:vAlign w:val="center"/>
            <w:hideMark/>
          </w:tcPr>
          <w:p w14:paraId="3F5D73D6" w14:textId="77777777" w:rsidR="003B76EB" w:rsidRPr="007C740F" w:rsidRDefault="003B76EB" w:rsidP="00796C09">
            <w:pPr>
              <w:spacing w:after="0" w:line="240" w:lineRule="auto"/>
              <w:jc w:val="center"/>
              <w:rPr>
                <w:rFonts w:eastAsia="Times New Roman" w:cs="Times New Roman"/>
                <w:color w:val="000000"/>
                <w:sz w:val="18"/>
                <w:szCs w:val="18"/>
                <w:lang w:eastAsia="en-GB"/>
              </w:rPr>
            </w:pPr>
          </w:p>
        </w:tc>
      </w:tr>
      <w:tr w:rsidR="003B76EB" w:rsidRPr="007C740F" w14:paraId="7927AEEE"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07A52686"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EMR</w:t>
            </w:r>
          </w:p>
        </w:tc>
        <w:tc>
          <w:tcPr>
            <w:tcW w:w="840" w:type="dxa"/>
            <w:tcBorders>
              <w:top w:val="nil"/>
              <w:left w:val="single" w:sz="4" w:space="0" w:color="auto"/>
              <w:bottom w:val="nil"/>
              <w:right w:val="nil"/>
            </w:tcBorders>
            <w:shd w:val="clear" w:color="auto" w:fill="auto"/>
            <w:noWrap/>
            <w:vAlign w:val="center"/>
            <w:hideMark/>
          </w:tcPr>
          <w:p w14:paraId="65C38FA2"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16,906</w:t>
            </w:r>
          </w:p>
        </w:tc>
        <w:tc>
          <w:tcPr>
            <w:tcW w:w="827" w:type="dxa"/>
            <w:tcBorders>
              <w:top w:val="nil"/>
              <w:left w:val="single" w:sz="4" w:space="0" w:color="auto"/>
              <w:bottom w:val="nil"/>
              <w:right w:val="nil"/>
            </w:tcBorders>
            <w:shd w:val="clear" w:color="auto" w:fill="auto"/>
            <w:noWrap/>
            <w:vAlign w:val="bottom"/>
            <w:hideMark/>
          </w:tcPr>
          <w:p w14:paraId="1A6A3975"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52.0</w:t>
            </w:r>
          </w:p>
        </w:tc>
        <w:tc>
          <w:tcPr>
            <w:tcW w:w="679" w:type="dxa"/>
            <w:tcBorders>
              <w:top w:val="nil"/>
              <w:left w:val="single" w:sz="4" w:space="0" w:color="auto"/>
              <w:bottom w:val="nil"/>
              <w:right w:val="nil"/>
            </w:tcBorders>
            <w:shd w:val="clear" w:color="auto" w:fill="auto"/>
            <w:noWrap/>
            <w:vAlign w:val="bottom"/>
            <w:hideMark/>
          </w:tcPr>
          <w:p w14:paraId="782AFDCA"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0.66</w:t>
            </w:r>
          </w:p>
        </w:tc>
        <w:tc>
          <w:tcPr>
            <w:tcW w:w="709" w:type="dxa"/>
            <w:tcBorders>
              <w:top w:val="nil"/>
              <w:left w:val="nil"/>
              <w:bottom w:val="nil"/>
              <w:right w:val="nil"/>
            </w:tcBorders>
            <w:shd w:val="clear" w:color="auto" w:fill="auto"/>
            <w:noWrap/>
            <w:vAlign w:val="bottom"/>
            <w:hideMark/>
          </w:tcPr>
          <w:p w14:paraId="245728BE"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0.22</w:t>
            </w:r>
          </w:p>
        </w:tc>
        <w:tc>
          <w:tcPr>
            <w:tcW w:w="572" w:type="dxa"/>
            <w:tcBorders>
              <w:top w:val="nil"/>
              <w:left w:val="nil"/>
              <w:bottom w:val="nil"/>
              <w:right w:val="nil"/>
            </w:tcBorders>
            <w:shd w:val="clear" w:color="auto" w:fill="auto"/>
            <w:noWrap/>
            <w:vAlign w:val="bottom"/>
            <w:hideMark/>
          </w:tcPr>
          <w:p w14:paraId="3EC2CC54"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1.51</w:t>
            </w:r>
          </w:p>
        </w:tc>
        <w:tc>
          <w:tcPr>
            <w:tcW w:w="540" w:type="dxa"/>
            <w:tcBorders>
              <w:top w:val="nil"/>
              <w:left w:val="nil"/>
              <w:bottom w:val="nil"/>
              <w:right w:val="nil"/>
            </w:tcBorders>
            <w:shd w:val="clear" w:color="auto" w:fill="auto"/>
            <w:noWrap/>
            <w:vAlign w:val="bottom"/>
            <w:hideMark/>
          </w:tcPr>
          <w:p w14:paraId="52257B0C"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0.82</w:t>
            </w:r>
          </w:p>
        </w:tc>
        <w:tc>
          <w:tcPr>
            <w:tcW w:w="627" w:type="dxa"/>
            <w:tcBorders>
              <w:top w:val="nil"/>
              <w:left w:val="nil"/>
              <w:bottom w:val="nil"/>
              <w:right w:val="nil"/>
            </w:tcBorders>
            <w:shd w:val="clear" w:color="auto" w:fill="auto"/>
            <w:noWrap/>
            <w:vAlign w:val="bottom"/>
            <w:hideMark/>
          </w:tcPr>
          <w:p w14:paraId="02EE4E9C"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4.44</w:t>
            </w:r>
          </w:p>
        </w:tc>
        <w:tc>
          <w:tcPr>
            <w:tcW w:w="970" w:type="dxa"/>
            <w:tcBorders>
              <w:top w:val="nil"/>
              <w:left w:val="single" w:sz="4" w:space="0" w:color="auto"/>
              <w:bottom w:val="nil"/>
              <w:right w:val="single" w:sz="4" w:space="0" w:color="auto"/>
            </w:tcBorders>
            <w:shd w:val="clear" w:color="auto" w:fill="auto"/>
            <w:noWrap/>
            <w:vAlign w:val="bottom"/>
            <w:hideMark/>
          </w:tcPr>
          <w:p w14:paraId="0B4A6295"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7.0</w:t>
            </w:r>
          </w:p>
        </w:tc>
        <w:tc>
          <w:tcPr>
            <w:tcW w:w="1067" w:type="dxa"/>
            <w:tcBorders>
              <w:top w:val="nil"/>
              <w:left w:val="single" w:sz="4" w:space="0" w:color="auto"/>
              <w:bottom w:val="nil"/>
              <w:right w:val="single" w:sz="4" w:space="0" w:color="auto"/>
            </w:tcBorders>
            <w:shd w:val="clear" w:color="auto" w:fill="auto"/>
            <w:noWrap/>
            <w:vAlign w:val="center"/>
            <w:hideMark/>
          </w:tcPr>
          <w:p w14:paraId="3FB4B28B" w14:textId="77777777" w:rsidR="003B76EB" w:rsidRPr="007C740F" w:rsidRDefault="003B76EB" w:rsidP="00DD03FD">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15</w:t>
            </w:r>
          </w:p>
        </w:tc>
      </w:tr>
      <w:tr w:rsidR="003B76EB" w:rsidRPr="007C740F" w14:paraId="58A0575D"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026EDF2B"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AFR</w:t>
            </w:r>
          </w:p>
        </w:tc>
        <w:tc>
          <w:tcPr>
            <w:tcW w:w="840" w:type="dxa"/>
            <w:tcBorders>
              <w:top w:val="nil"/>
              <w:left w:val="single" w:sz="4" w:space="0" w:color="auto"/>
              <w:bottom w:val="nil"/>
              <w:right w:val="nil"/>
            </w:tcBorders>
            <w:shd w:val="clear" w:color="auto" w:fill="auto"/>
            <w:noWrap/>
            <w:vAlign w:val="center"/>
            <w:hideMark/>
          </w:tcPr>
          <w:p w14:paraId="72742E17"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34,647</w:t>
            </w:r>
          </w:p>
        </w:tc>
        <w:tc>
          <w:tcPr>
            <w:tcW w:w="827" w:type="dxa"/>
            <w:tcBorders>
              <w:top w:val="nil"/>
              <w:left w:val="single" w:sz="4" w:space="0" w:color="auto"/>
              <w:bottom w:val="nil"/>
              <w:right w:val="nil"/>
            </w:tcBorders>
            <w:shd w:val="clear" w:color="auto" w:fill="auto"/>
            <w:noWrap/>
            <w:vAlign w:val="bottom"/>
            <w:hideMark/>
          </w:tcPr>
          <w:p w14:paraId="6E190E68"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46.3</w:t>
            </w:r>
          </w:p>
        </w:tc>
        <w:tc>
          <w:tcPr>
            <w:tcW w:w="679" w:type="dxa"/>
            <w:tcBorders>
              <w:top w:val="nil"/>
              <w:left w:val="single" w:sz="4" w:space="0" w:color="auto"/>
              <w:bottom w:val="nil"/>
              <w:right w:val="nil"/>
            </w:tcBorders>
            <w:shd w:val="clear" w:color="auto" w:fill="auto"/>
            <w:noWrap/>
            <w:vAlign w:val="bottom"/>
            <w:hideMark/>
          </w:tcPr>
          <w:p w14:paraId="524AABD5"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0.33</w:t>
            </w:r>
          </w:p>
        </w:tc>
        <w:tc>
          <w:tcPr>
            <w:tcW w:w="709" w:type="dxa"/>
            <w:tcBorders>
              <w:top w:val="nil"/>
              <w:left w:val="nil"/>
              <w:bottom w:val="nil"/>
              <w:right w:val="nil"/>
            </w:tcBorders>
            <w:shd w:val="clear" w:color="auto" w:fill="auto"/>
            <w:noWrap/>
            <w:vAlign w:val="bottom"/>
            <w:hideMark/>
          </w:tcPr>
          <w:p w14:paraId="15AEF48E"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0.14</w:t>
            </w:r>
          </w:p>
        </w:tc>
        <w:tc>
          <w:tcPr>
            <w:tcW w:w="572" w:type="dxa"/>
            <w:tcBorders>
              <w:top w:val="nil"/>
              <w:left w:val="nil"/>
              <w:bottom w:val="nil"/>
              <w:right w:val="nil"/>
            </w:tcBorders>
            <w:shd w:val="clear" w:color="auto" w:fill="auto"/>
            <w:noWrap/>
            <w:vAlign w:val="bottom"/>
            <w:hideMark/>
          </w:tcPr>
          <w:p w14:paraId="73E8ADD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0.84</w:t>
            </w:r>
          </w:p>
        </w:tc>
        <w:tc>
          <w:tcPr>
            <w:tcW w:w="540" w:type="dxa"/>
            <w:tcBorders>
              <w:top w:val="nil"/>
              <w:left w:val="nil"/>
              <w:bottom w:val="nil"/>
              <w:right w:val="nil"/>
            </w:tcBorders>
            <w:shd w:val="clear" w:color="auto" w:fill="auto"/>
            <w:noWrap/>
            <w:vAlign w:val="bottom"/>
            <w:hideMark/>
          </w:tcPr>
          <w:p w14:paraId="4061410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0.16</w:t>
            </w:r>
          </w:p>
        </w:tc>
        <w:tc>
          <w:tcPr>
            <w:tcW w:w="627" w:type="dxa"/>
            <w:tcBorders>
              <w:top w:val="nil"/>
              <w:left w:val="nil"/>
              <w:bottom w:val="nil"/>
              <w:right w:val="nil"/>
            </w:tcBorders>
            <w:shd w:val="clear" w:color="auto" w:fill="auto"/>
            <w:noWrap/>
            <w:vAlign w:val="bottom"/>
            <w:hideMark/>
          </w:tcPr>
          <w:p w14:paraId="6E07BCF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1.15</w:t>
            </w:r>
          </w:p>
        </w:tc>
        <w:tc>
          <w:tcPr>
            <w:tcW w:w="970" w:type="dxa"/>
            <w:tcBorders>
              <w:top w:val="nil"/>
              <w:left w:val="single" w:sz="4" w:space="0" w:color="auto"/>
              <w:bottom w:val="nil"/>
              <w:right w:val="single" w:sz="4" w:space="0" w:color="auto"/>
            </w:tcBorders>
            <w:shd w:val="clear" w:color="auto" w:fill="auto"/>
            <w:noWrap/>
            <w:vAlign w:val="bottom"/>
            <w:hideMark/>
          </w:tcPr>
          <w:p w14:paraId="39E96EBB"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w:t>
            </w:r>
          </w:p>
        </w:tc>
        <w:tc>
          <w:tcPr>
            <w:tcW w:w="1067" w:type="dxa"/>
            <w:tcBorders>
              <w:top w:val="nil"/>
              <w:left w:val="single" w:sz="4" w:space="0" w:color="auto"/>
              <w:bottom w:val="nil"/>
              <w:right w:val="single" w:sz="4" w:space="0" w:color="auto"/>
            </w:tcBorders>
            <w:shd w:val="clear" w:color="auto" w:fill="auto"/>
            <w:noWrap/>
            <w:vAlign w:val="center"/>
            <w:hideMark/>
          </w:tcPr>
          <w:p w14:paraId="4B49C07E" w14:textId="77777777" w:rsidR="003B76EB" w:rsidRPr="007C740F" w:rsidRDefault="003B76EB" w:rsidP="00DD03FD">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5</w:t>
            </w:r>
          </w:p>
        </w:tc>
      </w:tr>
      <w:tr w:rsidR="003B76EB" w:rsidRPr="007C740F" w14:paraId="5A6EF0BD"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1A446F57"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SEAR</w:t>
            </w:r>
          </w:p>
        </w:tc>
        <w:tc>
          <w:tcPr>
            <w:tcW w:w="840" w:type="dxa"/>
            <w:tcBorders>
              <w:top w:val="nil"/>
              <w:left w:val="single" w:sz="4" w:space="0" w:color="auto"/>
              <w:bottom w:val="nil"/>
              <w:right w:val="nil"/>
            </w:tcBorders>
            <w:shd w:val="clear" w:color="auto" w:fill="auto"/>
            <w:noWrap/>
            <w:vAlign w:val="center"/>
            <w:hideMark/>
          </w:tcPr>
          <w:p w14:paraId="4E702D4D"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37,304</w:t>
            </w:r>
          </w:p>
        </w:tc>
        <w:tc>
          <w:tcPr>
            <w:tcW w:w="827" w:type="dxa"/>
            <w:tcBorders>
              <w:top w:val="nil"/>
              <w:left w:val="single" w:sz="4" w:space="0" w:color="auto"/>
              <w:bottom w:val="nil"/>
              <w:right w:val="nil"/>
            </w:tcBorders>
            <w:shd w:val="clear" w:color="auto" w:fill="auto"/>
            <w:noWrap/>
            <w:vAlign w:val="bottom"/>
            <w:hideMark/>
          </w:tcPr>
          <w:p w14:paraId="4086D4DD"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37.8</w:t>
            </w:r>
          </w:p>
        </w:tc>
        <w:tc>
          <w:tcPr>
            <w:tcW w:w="679" w:type="dxa"/>
            <w:tcBorders>
              <w:top w:val="nil"/>
              <w:left w:val="single" w:sz="4" w:space="0" w:color="auto"/>
              <w:bottom w:val="nil"/>
              <w:right w:val="nil"/>
            </w:tcBorders>
            <w:shd w:val="clear" w:color="auto" w:fill="auto"/>
            <w:noWrap/>
            <w:vAlign w:val="bottom"/>
            <w:hideMark/>
          </w:tcPr>
          <w:p w14:paraId="0FA0FFB9"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0.01</w:t>
            </w:r>
          </w:p>
        </w:tc>
        <w:tc>
          <w:tcPr>
            <w:tcW w:w="709" w:type="dxa"/>
            <w:tcBorders>
              <w:top w:val="nil"/>
              <w:left w:val="nil"/>
              <w:bottom w:val="nil"/>
              <w:right w:val="nil"/>
            </w:tcBorders>
            <w:shd w:val="clear" w:color="auto" w:fill="auto"/>
            <w:noWrap/>
            <w:vAlign w:val="bottom"/>
            <w:hideMark/>
          </w:tcPr>
          <w:p w14:paraId="2E7F2317"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0.04</w:t>
            </w:r>
          </w:p>
        </w:tc>
        <w:tc>
          <w:tcPr>
            <w:tcW w:w="572" w:type="dxa"/>
            <w:tcBorders>
              <w:top w:val="nil"/>
              <w:left w:val="nil"/>
              <w:bottom w:val="nil"/>
              <w:right w:val="nil"/>
            </w:tcBorders>
            <w:shd w:val="clear" w:color="auto" w:fill="auto"/>
            <w:noWrap/>
            <w:vAlign w:val="bottom"/>
            <w:hideMark/>
          </w:tcPr>
          <w:p w14:paraId="5E71FCC0"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0.43</w:t>
            </w:r>
          </w:p>
        </w:tc>
        <w:tc>
          <w:tcPr>
            <w:tcW w:w="540" w:type="dxa"/>
            <w:tcBorders>
              <w:top w:val="nil"/>
              <w:left w:val="nil"/>
              <w:bottom w:val="nil"/>
              <w:right w:val="nil"/>
            </w:tcBorders>
            <w:shd w:val="clear" w:color="auto" w:fill="auto"/>
            <w:noWrap/>
            <w:vAlign w:val="bottom"/>
            <w:hideMark/>
          </w:tcPr>
          <w:p w14:paraId="55FA31F5"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0.76</w:t>
            </w:r>
          </w:p>
        </w:tc>
        <w:tc>
          <w:tcPr>
            <w:tcW w:w="627" w:type="dxa"/>
            <w:tcBorders>
              <w:top w:val="nil"/>
              <w:left w:val="nil"/>
              <w:bottom w:val="nil"/>
              <w:right w:val="nil"/>
            </w:tcBorders>
            <w:shd w:val="clear" w:color="auto" w:fill="auto"/>
            <w:noWrap/>
            <w:vAlign w:val="bottom"/>
            <w:hideMark/>
          </w:tcPr>
          <w:p w14:paraId="7A5B668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2.73</w:t>
            </w:r>
          </w:p>
        </w:tc>
        <w:tc>
          <w:tcPr>
            <w:tcW w:w="970" w:type="dxa"/>
            <w:tcBorders>
              <w:top w:val="nil"/>
              <w:left w:val="single" w:sz="4" w:space="0" w:color="auto"/>
              <w:bottom w:val="nil"/>
              <w:right w:val="single" w:sz="4" w:space="0" w:color="auto"/>
            </w:tcBorders>
            <w:shd w:val="clear" w:color="auto" w:fill="auto"/>
            <w:noWrap/>
            <w:vAlign w:val="bottom"/>
            <w:hideMark/>
          </w:tcPr>
          <w:p w14:paraId="1F796A24"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4.0</w:t>
            </w:r>
          </w:p>
        </w:tc>
        <w:tc>
          <w:tcPr>
            <w:tcW w:w="1067" w:type="dxa"/>
            <w:tcBorders>
              <w:top w:val="nil"/>
              <w:left w:val="single" w:sz="4" w:space="0" w:color="auto"/>
              <w:bottom w:val="nil"/>
              <w:right w:val="single" w:sz="4" w:space="0" w:color="auto"/>
            </w:tcBorders>
            <w:shd w:val="clear" w:color="auto" w:fill="auto"/>
            <w:noWrap/>
            <w:vAlign w:val="bottom"/>
            <w:hideMark/>
          </w:tcPr>
          <w:p w14:paraId="0FE9AEF0"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w:t>
            </w:r>
          </w:p>
        </w:tc>
      </w:tr>
      <w:tr w:rsidR="003B76EB" w:rsidRPr="007C740F" w14:paraId="3477F3AE"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D165D52"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EUR</w:t>
            </w:r>
          </w:p>
        </w:tc>
        <w:tc>
          <w:tcPr>
            <w:tcW w:w="840" w:type="dxa"/>
            <w:tcBorders>
              <w:top w:val="nil"/>
              <w:left w:val="single" w:sz="4" w:space="0" w:color="auto"/>
              <w:bottom w:val="nil"/>
              <w:right w:val="nil"/>
            </w:tcBorders>
            <w:shd w:val="clear" w:color="auto" w:fill="auto"/>
            <w:noWrap/>
            <w:vAlign w:val="center"/>
            <w:hideMark/>
          </w:tcPr>
          <w:p w14:paraId="0E070AC1"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11,296</w:t>
            </w:r>
          </w:p>
        </w:tc>
        <w:tc>
          <w:tcPr>
            <w:tcW w:w="827" w:type="dxa"/>
            <w:tcBorders>
              <w:top w:val="nil"/>
              <w:left w:val="single" w:sz="4" w:space="0" w:color="auto"/>
              <w:bottom w:val="nil"/>
              <w:right w:val="nil"/>
            </w:tcBorders>
            <w:shd w:val="clear" w:color="auto" w:fill="auto"/>
            <w:noWrap/>
            <w:vAlign w:val="bottom"/>
            <w:hideMark/>
          </w:tcPr>
          <w:p w14:paraId="3F343A3F"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35.8</w:t>
            </w:r>
          </w:p>
        </w:tc>
        <w:tc>
          <w:tcPr>
            <w:tcW w:w="679" w:type="dxa"/>
            <w:tcBorders>
              <w:top w:val="nil"/>
              <w:left w:val="single" w:sz="4" w:space="0" w:color="auto"/>
              <w:bottom w:val="nil"/>
              <w:right w:val="nil"/>
            </w:tcBorders>
            <w:shd w:val="clear" w:color="auto" w:fill="auto"/>
            <w:noWrap/>
            <w:vAlign w:val="bottom"/>
            <w:hideMark/>
          </w:tcPr>
          <w:p w14:paraId="51AB5C33"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0.18</w:t>
            </w:r>
          </w:p>
        </w:tc>
        <w:tc>
          <w:tcPr>
            <w:tcW w:w="709" w:type="dxa"/>
            <w:tcBorders>
              <w:top w:val="nil"/>
              <w:left w:val="nil"/>
              <w:bottom w:val="nil"/>
              <w:right w:val="nil"/>
            </w:tcBorders>
            <w:shd w:val="clear" w:color="auto" w:fill="auto"/>
            <w:noWrap/>
            <w:vAlign w:val="bottom"/>
            <w:hideMark/>
          </w:tcPr>
          <w:p w14:paraId="35FCFE26"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0.04</w:t>
            </w:r>
          </w:p>
        </w:tc>
        <w:tc>
          <w:tcPr>
            <w:tcW w:w="572" w:type="dxa"/>
            <w:tcBorders>
              <w:top w:val="nil"/>
              <w:left w:val="nil"/>
              <w:bottom w:val="nil"/>
              <w:right w:val="nil"/>
            </w:tcBorders>
            <w:shd w:val="clear" w:color="auto" w:fill="auto"/>
            <w:noWrap/>
            <w:vAlign w:val="bottom"/>
            <w:hideMark/>
          </w:tcPr>
          <w:p w14:paraId="45AEC7AE"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2.54</w:t>
            </w:r>
          </w:p>
        </w:tc>
        <w:tc>
          <w:tcPr>
            <w:tcW w:w="540" w:type="dxa"/>
            <w:tcBorders>
              <w:top w:val="nil"/>
              <w:left w:val="nil"/>
              <w:bottom w:val="nil"/>
              <w:right w:val="nil"/>
            </w:tcBorders>
            <w:shd w:val="clear" w:color="auto" w:fill="auto"/>
            <w:noWrap/>
            <w:vAlign w:val="bottom"/>
            <w:hideMark/>
          </w:tcPr>
          <w:p w14:paraId="5D2F29D0"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3.93</w:t>
            </w:r>
          </w:p>
        </w:tc>
        <w:tc>
          <w:tcPr>
            <w:tcW w:w="627" w:type="dxa"/>
            <w:tcBorders>
              <w:top w:val="nil"/>
              <w:left w:val="nil"/>
              <w:bottom w:val="nil"/>
              <w:right w:val="nil"/>
            </w:tcBorders>
            <w:shd w:val="clear" w:color="auto" w:fill="auto"/>
            <w:noWrap/>
            <w:vAlign w:val="bottom"/>
            <w:hideMark/>
          </w:tcPr>
          <w:p w14:paraId="7563F4F7"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12.44</w:t>
            </w:r>
          </w:p>
        </w:tc>
        <w:tc>
          <w:tcPr>
            <w:tcW w:w="970" w:type="dxa"/>
            <w:tcBorders>
              <w:top w:val="nil"/>
              <w:left w:val="single" w:sz="4" w:space="0" w:color="auto"/>
              <w:bottom w:val="nil"/>
              <w:right w:val="single" w:sz="4" w:space="0" w:color="auto"/>
            </w:tcBorders>
            <w:shd w:val="clear" w:color="auto" w:fill="auto"/>
            <w:noWrap/>
            <w:vAlign w:val="bottom"/>
            <w:hideMark/>
          </w:tcPr>
          <w:p w14:paraId="16B990DC"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19.0</w:t>
            </w:r>
          </w:p>
        </w:tc>
        <w:tc>
          <w:tcPr>
            <w:tcW w:w="1067" w:type="dxa"/>
            <w:tcBorders>
              <w:top w:val="nil"/>
              <w:left w:val="single" w:sz="4" w:space="0" w:color="auto"/>
              <w:bottom w:val="nil"/>
              <w:right w:val="single" w:sz="4" w:space="0" w:color="auto"/>
            </w:tcBorders>
            <w:shd w:val="clear" w:color="auto" w:fill="auto"/>
            <w:noWrap/>
            <w:vAlign w:val="bottom"/>
            <w:hideMark/>
          </w:tcPr>
          <w:p w14:paraId="67F6F567"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53</w:t>
            </w:r>
          </w:p>
        </w:tc>
      </w:tr>
      <w:tr w:rsidR="003B76EB" w:rsidRPr="007C740F" w14:paraId="43903F55"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78CC1F97"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AMR</w:t>
            </w:r>
          </w:p>
        </w:tc>
        <w:tc>
          <w:tcPr>
            <w:tcW w:w="840" w:type="dxa"/>
            <w:tcBorders>
              <w:top w:val="nil"/>
              <w:left w:val="single" w:sz="4" w:space="0" w:color="auto"/>
              <w:bottom w:val="nil"/>
              <w:right w:val="nil"/>
            </w:tcBorders>
            <w:shd w:val="clear" w:color="auto" w:fill="auto"/>
            <w:noWrap/>
            <w:vAlign w:val="center"/>
            <w:hideMark/>
          </w:tcPr>
          <w:p w14:paraId="49E4EBB3"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15,319</w:t>
            </w:r>
          </w:p>
        </w:tc>
        <w:tc>
          <w:tcPr>
            <w:tcW w:w="827" w:type="dxa"/>
            <w:tcBorders>
              <w:top w:val="nil"/>
              <w:left w:val="single" w:sz="4" w:space="0" w:color="auto"/>
              <w:bottom w:val="nil"/>
              <w:right w:val="nil"/>
            </w:tcBorders>
            <w:shd w:val="clear" w:color="auto" w:fill="auto"/>
            <w:noWrap/>
            <w:vAlign w:val="bottom"/>
            <w:hideMark/>
          </w:tcPr>
          <w:p w14:paraId="6E331801"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34.5</w:t>
            </w:r>
          </w:p>
        </w:tc>
        <w:tc>
          <w:tcPr>
            <w:tcW w:w="679" w:type="dxa"/>
            <w:tcBorders>
              <w:top w:val="nil"/>
              <w:left w:val="single" w:sz="4" w:space="0" w:color="auto"/>
              <w:bottom w:val="nil"/>
              <w:right w:val="nil"/>
            </w:tcBorders>
            <w:shd w:val="clear" w:color="auto" w:fill="auto"/>
            <w:noWrap/>
            <w:vAlign w:val="bottom"/>
            <w:hideMark/>
          </w:tcPr>
          <w:p w14:paraId="392CC05F"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0.98</w:t>
            </w:r>
          </w:p>
        </w:tc>
        <w:tc>
          <w:tcPr>
            <w:tcW w:w="709" w:type="dxa"/>
            <w:tcBorders>
              <w:top w:val="nil"/>
              <w:left w:val="nil"/>
              <w:bottom w:val="nil"/>
              <w:right w:val="nil"/>
            </w:tcBorders>
            <w:shd w:val="clear" w:color="auto" w:fill="auto"/>
            <w:noWrap/>
            <w:vAlign w:val="bottom"/>
            <w:hideMark/>
          </w:tcPr>
          <w:p w14:paraId="04DCC67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0.01</w:t>
            </w:r>
          </w:p>
        </w:tc>
        <w:tc>
          <w:tcPr>
            <w:tcW w:w="572" w:type="dxa"/>
            <w:tcBorders>
              <w:top w:val="nil"/>
              <w:left w:val="nil"/>
              <w:bottom w:val="nil"/>
              <w:right w:val="nil"/>
            </w:tcBorders>
            <w:shd w:val="clear" w:color="auto" w:fill="auto"/>
            <w:noWrap/>
            <w:vAlign w:val="bottom"/>
            <w:hideMark/>
          </w:tcPr>
          <w:p w14:paraId="24B6A7C9"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2.20</w:t>
            </w:r>
          </w:p>
        </w:tc>
        <w:tc>
          <w:tcPr>
            <w:tcW w:w="540" w:type="dxa"/>
            <w:tcBorders>
              <w:top w:val="nil"/>
              <w:left w:val="nil"/>
              <w:bottom w:val="nil"/>
              <w:right w:val="nil"/>
            </w:tcBorders>
            <w:shd w:val="clear" w:color="auto" w:fill="auto"/>
            <w:noWrap/>
            <w:vAlign w:val="bottom"/>
            <w:hideMark/>
          </w:tcPr>
          <w:p w14:paraId="0E4F9AB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1.27</w:t>
            </w:r>
          </w:p>
        </w:tc>
        <w:tc>
          <w:tcPr>
            <w:tcW w:w="627" w:type="dxa"/>
            <w:tcBorders>
              <w:top w:val="nil"/>
              <w:left w:val="nil"/>
              <w:bottom w:val="nil"/>
              <w:right w:val="nil"/>
            </w:tcBorders>
            <w:shd w:val="clear" w:color="auto" w:fill="auto"/>
            <w:noWrap/>
            <w:vAlign w:val="bottom"/>
            <w:hideMark/>
          </w:tcPr>
          <w:p w14:paraId="1EEF5060"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8.95</w:t>
            </w:r>
          </w:p>
        </w:tc>
        <w:tc>
          <w:tcPr>
            <w:tcW w:w="970" w:type="dxa"/>
            <w:tcBorders>
              <w:top w:val="nil"/>
              <w:left w:val="single" w:sz="4" w:space="0" w:color="auto"/>
              <w:bottom w:val="nil"/>
              <w:right w:val="single" w:sz="4" w:space="0" w:color="auto"/>
            </w:tcBorders>
            <w:shd w:val="clear" w:color="auto" w:fill="auto"/>
            <w:noWrap/>
            <w:vAlign w:val="bottom"/>
            <w:hideMark/>
          </w:tcPr>
          <w:p w14:paraId="5DEB29F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12.4</w:t>
            </w:r>
          </w:p>
        </w:tc>
        <w:tc>
          <w:tcPr>
            <w:tcW w:w="1067" w:type="dxa"/>
            <w:tcBorders>
              <w:top w:val="nil"/>
              <w:left w:val="single" w:sz="4" w:space="0" w:color="auto"/>
              <w:bottom w:val="nil"/>
              <w:right w:val="single" w:sz="4" w:space="0" w:color="auto"/>
            </w:tcBorders>
            <w:shd w:val="clear" w:color="auto" w:fill="auto"/>
            <w:noWrap/>
            <w:vAlign w:val="center"/>
            <w:hideMark/>
          </w:tcPr>
          <w:p w14:paraId="21B51629" w14:textId="77777777" w:rsidR="003B76EB" w:rsidRPr="007C740F" w:rsidRDefault="003B76EB" w:rsidP="00DD03FD">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36</w:t>
            </w:r>
          </w:p>
        </w:tc>
      </w:tr>
      <w:tr w:rsidR="003B76EB" w:rsidRPr="007C740F" w14:paraId="0F269602" w14:textId="77777777" w:rsidTr="00494C07">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0FDA7440"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WPR</w:t>
            </w:r>
          </w:p>
        </w:tc>
        <w:tc>
          <w:tcPr>
            <w:tcW w:w="840" w:type="dxa"/>
            <w:tcBorders>
              <w:top w:val="nil"/>
              <w:left w:val="single" w:sz="4" w:space="0" w:color="auto"/>
              <w:bottom w:val="nil"/>
              <w:right w:val="nil"/>
            </w:tcBorders>
            <w:shd w:val="clear" w:color="auto" w:fill="auto"/>
            <w:noWrap/>
            <w:vAlign w:val="center"/>
            <w:hideMark/>
          </w:tcPr>
          <w:p w14:paraId="4AAA82F5"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24,368</w:t>
            </w:r>
          </w:p>
        </w:tc>
        <w:tc>
          <w:tcPr>
            <w:tcW w:w="827" w:type="dxa"/>
            <w:tcBorders>
              <w:top w:val="nil"/>
              <w:left w:val="single" w:sz="4" w:space="0" w:color="auto"/>
              <w:bottom w:val="nil"/>
              <w:right w:val="nil"/>
            </w:tcBorders>
            <w:shd w:val="clear" w:color="auto" w:fill="auto"/>
            <w:noWrap/>
            <w:vAlign w:val="bottom"/>
            <w:hideMark/>
          </w:tcPr>
          <w:p w14:paraId="0A6EC454"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31.4</w:t>
            </w:r>
          </w:p>
        </w:tc>
        <w:tc>
          <w:tcPr>
            <w:tcW w:w="679" w:type="dxa"/>
            <w:tcBorders>
              <w:top w:val="nil"/>
              <w:left w:val="single" w:sz="4" w:space="0" w:color="auto"/>
              <w:bottom w:val="nil"/>
              <w:right w:val="nil"/>
            </w:tcBorders>
            <w:shd w:val="clear" w:color="auto" w:fill="auto"/>
            <w:noWrap/>
            <w:vAlign w:val="bottom"/>
            <w:hideMark/>
          </w:tcPr>
          <w:p w14:paraId="566E7D64"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0.01</w:t>
            </w:r>
          </w:p>
        </w:tc>
        <w:tc>
          <w:tcPr>
            <w:tcW w:w="709" w:type="dxa"/>
            <w:tcBorders>
              <w:top w:val="nil"/>
              <w:left w:val="nil"/>
              <w:bottom w:val="nil"/>
              <w:right w:val="nil"/>
            </w:tcBorders>
            <w:shd w:val="clear" w:color="auto" w:fill="auto"/>
            <w:noWrap/>
            <w:vAlign w:val="bottom"/>
            <w:hideMark/>
          </w:tcPr>
          <w:p w14:paraId="67CD4BFA"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0.06</w:t>
            </w:r>
          </w:p>
        </w:tc>
        <w:tc>
          <w:tcPr>
            <w:tcW w:w="572" w:type="dxa"/>
            <w:tcBorders>
              <w:top w:val="nil"/>
              <w:left w:val="nil"/>
              <w:bottom w:val="nil"/>
              <w:right w:val="nil"/>
            </w:tcBorders>
            <w:shd w:val="clear" w:color="auto" w:fill="auto"/>
            <w:noWrap/>
            <w:vAlign w:val="bottom"/>
            <w:hideMark/>
          </w:tcPr>
          <w:p w14:paraId="49E8B02E"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0.17</w:t>
            </w:r>
          </w:p>
        </w:tc>
        <w:tc>
          <w:tcPr>
            <w:tcW w:w="540" w:type="dxa"/>
            <w:tcBorders>
              <w:top w:val="nil"/>
              <w:left w:val="nil"/>
              <w:bottom w:val="nil"/>
              <w:right w:val="nil"/>
            </w:tcBorders>
            <w:shd w:val="clear" w:color="auto" w:fill="auto"/>
            <w:noWrap/>
            <w:vAlign w:val="bottom"/>
            <w:hideMark/>
          </w:tcPr>
          <w:p w14:paraId="7EBB9FEF"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3.90</w:t>
            </w:r>
          </w:p>
        </w:tc>
        <w:tc>
          <w:tcPr>
            <w:tcW w:w="627" w:type="dxa"/>
            <w:tcBorders>
              <w:top w:val="nil"/>
              <w:left w:val="nil"/>
              <w:bottom w:val="nil"/>
              <w:right w:val="nil"/>
            </w:tcBorders>
            <w:shd w:val="clear" w:color="auto" w:fill="auto"/>
            <w:noWrap/>
            <w:vAlign w:val="bottom"/>
            <w:hideMark/>
          </w:tcPr>
          <w:p w14:paraId="7EF3A21C"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11.31</w:t>
            </w:r>
          </w:p>
        </w:tc>
        <w:tc>
          <w:tcPr>
            <w:tcW w:w="970" w:type="dxa"/>
            <w:tcBorders>
              <w:top w:val="nil"/>
              <w:left w:val="single" w:sz="4" w:space="0" w:color="auto"/>
              <w:bottom w:val="nil"/>
              <w:right w:val="single" w:sz="4" w:space="0" w:color="auto"/>
            </w:tcBorders>
            <w:shd w:val="clear" w:color="auto" w:fill="auto"/>
            <w:noWrap/>
            <w:vAlign w:val="bottom"/>
            <w:hideMark/>
          </w:tcPr>
          <w:p w14:paraId="639F09FA"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15.5</w:t>
            </w:r>
          </w:p>
        </w:tc>
        <w:tc>
          <w:tcPr>
            <w:tcW w:w="1067" w:type="dxa"/>
            <w:tcBorders>
              <w:top w:val="nil"/>
              <w:left w:val="single" w:sz="4" w:space="0" w:color="auto"/>
              <w:bottom w:val="nil"/>
              <w:right w:val="single" w:sz="4" w:space="0" w:color="auto"/>
            </w:tcBorders>
            <w:shd w:val="clear" w:color="auto" w:fill="auto"/>
            <w:noWrap/>
            <w:vAlign w:val="bottom"/>
            <w:hideMark/>
          </w:tcPr>
          <w:p w14:paraId="674E94C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49</w:t>
            </w:r>
          </w:p>
        </w:tc>
      </w:tr>
      <w:tr w:rsidR="003B76EB" w:rsidRPr="007C740F" w14:paraId="070223FF" w14:textId="77777777" w:rsidTr="00494C07">
        <w:trPr>
          <w:trHeight w:val="284"/>
          <w:jc w:val="center"/>
        </w:trPr>
        <w:tc>
          <w:tcPr>
            <w:tcW w:w="103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6559461"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World</w:t>
            </w:r>
          </w:p>
        </w:tc>
        <w:tc>
          <w:tcPr>
            <w:tcW w:w="840" w:type="dxa"/>
            <w:tcBorders>
              <w:top w:val="single" w:sz="4" w:space="0" w:color="auto"/>
              <w:left w:val="single" w:sz="4" w:space="0" w:color="auto"/>
              <w:bottom w:val="double" w:sz="6" w:space="0" w:color="auto"/>
              <w:right w:val="nil"/>
            </w:tcBorders>
            <w:shd w:val="clear" w:color="auto" w:fill="auto"/>
            <w:noWrap/>
            <w:vAlign w:val="center"/>
            <w:hideMark/>
          </w:tcPr>
          <w:p w14:paraId="2C2A3C49"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139,840</w:t>
            </w:r>
          </w:p>
        </w:tc>
        <w:tc>
          <w:tcPr>
            <w:tcW w:w="827" w:type="dxa"/>
            <w:tcBorders>
              <w:top w:val="single" w:sz="4" w:space="0" w:color="auto"/>
              <w:left w:val="single" w:sz="4" w:space="0" w:color="auto"/>
              <w:bottom w:val="double" w:sz="6" w:space="0" w:color="auto"/>
              <w:right w:val="nil"/>
            </w:tcBorders>
            <w:shd w:val="clear" w:color="auto" w:fill="auto"/>
            <w:noWrap/>
            <w:vAlign w:val="bottom"/>
            <w:hideMark/>
          </w:tcPr>
          <w:p w14:paraId="6B577756"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40.0</w:t>
            </w:r>
          </w:p>
        </w:tc>
        <w:tc>
          <w:tcPr>
            <w:tcW w:w="679" w:type="dxa"/>
            <w:tcBorders>
              <w:top w:val="single" w:sz="4" w:space="0" w:color="auto"/>
              <w:left w:val="single" w:sz="4" w:space="0" w:color="auto"/>
              <w:bottom w:val="double" w:sz="6" w:space="0" w:color="auto"/>
              <w:right w:val="nil"/>
            </w:tcBorders>
            <w:shd w:val="clear" w:color="auto" w:fill="auto"/>
            <w:noWrap/>
            <w:vAlign w:val="bottom"/>
            <w:hideMark/>
          </w:tcPr>
          <w:p w14:paraId="158A0EA3"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0.29</w:t>
            </w:r>
          </w:p>
        </w:tc>
        <w:tc>
          <w:tcPr>
            <w:tcW w:w="709" w:type="dxa"/>
            <w:tcBorders>
              <w:top w:val="single" w:sz="4" w:space="0" w:color="auto"/>
              <w:left w:val="nil"/>
              <w:bottom w:val="double" w:sz="6" w:space="0" w:color="auto"/>
              <w:right w:val="nil"/>
            </w:tcBorders>
            <w:shd w:val="clear" w:color="auto" w:fill="auto"/>
            <w:noWrap/>
            <w:vAlign w:val="bottom"/>
            <w:hideMark/>
          </w:tcPr>
          <w:p w14:paraId="6C60485F"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0.09</w:t>
            </w:r>
          </w:p>
        </w:tc>
        <w:tc>
          <w:tcPr>
            <w:tcW w:w="572" w:type="dxa"/>
            <w:tcBorders>
              <w:top w:val="single" w:sz="4" w:space="0" w:color="auto"/>
              <w:left w:val="nil"/>
              <w:bottom w:val="double" w:sz="6" w:space="0" w:color="auto"/>
              <w:right w:val="nil"/>
            </w:tcBorders>
            <w:shd w:val="clear" w:color="auto" w:fill="auto"/>
            <w:noWrap/>
            <w:vAlign w:val="bottom"/>
            <w:hideMark/>
          </w:tcPr>
          <w:p w14:paraId="44C55774"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0.98</w:t>
            </w:r>
          </w:p>
        </w:tc>
        <w:tc>
          <w:tcPr>
            <w:tcW w:w="540" w:type="dxa"/>
            <w:tcBorders>
              <w:top w:val="single" w:sz="4" w:space="0" w:color="auto"/>
              <w:left w:val="nil"/>
              <w:bottom w:val="double" w:sz="6" w:space="0" w:color="auto"/>
              <w:right w:val="nil"/>
            </w:tcBorders>
            <w:shd w:val="clear" w:color="auto" w:fill="auto"/>
            <w:noWrap/>
            <w:vAlign w:val="bottom"/>
            <w:hideMark/>
          </w:tcPr>
          <w:p w14:paraId="61B8C931"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1.48</w:t>
            </w:r>
          </w:p>
        </w:tc>
        <w:tc>
          <w:tcPr>
            <w:tcW w:w="627" w:type="dxa"/>
            <w:tcBorders>
              <w:top w:val="single" w:sz="4" w:space="0" w:color="auto"/>
              <w:left w:val="nil"/>
              <w:bottom w:val="double" w:sz="6" w:space="0" w:color="auto"/>
              <w:right w:val="nil"/>
            </w:tcBorders>
            <w:shd w:val="clear" w:color="auto" w:fill="auto"/>
            <w:noWrap/>
            <w:vAlign w:val="bottom"/>
            <w:hideMark/>
          </w:tcPr>
          <w:p w14:paraId="090B44A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5.53</w:t>
            </w:r>
          </w:p>
        </w:tc>
        <w:tc>
          <w:tcPr>
            <w:tcW w:w="97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0558B1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8.1</w:t>
            </w:r>
          </w:p>
        </w:tc>
        <w:tc>
          <w:tcPr>
            <w:tcW w:w="106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CC4E132"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20</w:t>
            </w:r>
          </w:p>
        </w:tc>
      </w:tr>
      <w:tr w:rsidR="003B76EB" w:rsidRPr="007C740F" w14:paraId="5BC3C750" w14:textId="77777777" w:rsidTr="00494C07">
        <w:trPr>
          <w:trHeight w:val="284"/>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782B9F29" w14:textId="77777777" w:rsidR="003B76EB" w:rsidRPr="007C740F" w:rsidRDefault="003B76EB" w:rsidP="00135A28">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 xml:space="preserve"> W Europe</w:t>
            </w:r>
          </w:p>
        </w:tc>
        <w:tc>
          <w:tcPr>
            <w:tcW w:w="840" w:type="dxa"/>
            <w:tcBorders>
              <w:top w:val="nil"/>
              <w:left w:val="single" w:sz="4" w:space="0" w:color="auto"/>
              <w:bottom w:val="single" w:sz="4" w:space="0" w:color="auto"/>
              <w:right w:val="nil"/>
            </w:tcBorders>
            <w:shd w:val="clear" w:color="auto" w:fill="auto"/>
            <w:noWrap/>
            <w:vAlign w:val="center"/>
            <w:hideMark/>
          </w:tcPr>
          <w:p w14:paraId="3C85EA92" w14:textId="77777777" w:rsidR="003B76EB" w:rsidRPr="007C740F" w:rsidRDefault="003B76EB" w:rsidP="00135A28">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4,424</w:t>
            </w:r>
          </w:p>
        </w:tc>
        <w:tc>
          <w:tcPr>
            <w:tcW w:w="827" w:type="dxa"/>
            <w:tcBorders>
              <w:top w:val="nil"/>
              <w:left w:val="single" w:sz="4" w:space="0" w:color="auto"/>
              <w:bottom w:val="single" w:sz="4" w:space="0" w:color="auto"/>
              <w:right w:val="nil"/>
            </w:tcBorders>
            <w:shd w:val="clear" w:color="auto" w:fill="auto"/>
            <w:noWrap/>
            <w:vAlign w:val="bottom"/>
            <w:hideMark/>
          </w:tcPr>
          <w:p w14:paraId="7884B47C" w14:textId="77777777" w:rsidR="003B76EB" w:rsidRPr="007C740F" w:rsidRDefault="003B76EB" w:rsidP="00135A28">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34.9</w:t>
            </w:r>
          </w:p>
        </w:tc>
        <w:tc>
          <w:tcPr>
            <w:tcW w:w="679" w:type="dxa"/>
            <w:tcBorders>
              <w:top w:val="nil"/>
              <w:left w:val="single" w:sz="4" w:space="0" w:color="auto"/>
              <w:bottom w:val="single" w:sz="4" w:space="0" w:color="auto"/>
              <w:right w:val="nil"/>
            </w:tcBorders>
            <w:shd w:val="clear" w:color="auto" w:fill="auto"/>
            <w:noWrap/>
            <w:vAlign w:val="bottom"/>
            <w:hideMark/>
          </w:tcPr>
          <w:p w14:paraId="160CE3E6"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0.00</w:t>
            </w:r>
          </w:p>
        </w:tc>
        <w:tc>
          <w:tcPr>
            <w:tcW w:w="709" w:type="dxa"/>
            <w:tcBorders>
              <w:top w:val="nil"/>
              <w:left w:val="nil"/>
              <w:bottom w:val="single" w:sz="4" w:space="0" w:color="auto"/>
              <w:right w:val="nil"/>
            </w:tcBorders>
            <w:shd w:val="clear" w:color="auto" w:fill="auto"/>
            <w:noWrap/>
            <w:vAlign w:val="bottom"/>
            <w:hideMark/>
          </w:tcPr>
          <w:p w14:paraId="078FA2EF"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0.06</w:t>
            </w:r>
          </w:p>
        </w:tc>
        <w:tc>
          <w:tcPr>
            <w:tcW w:w="572" w:type="dxa"/>
            <w:tcBorders>
              <w:top w:val="nil"/>
              <w:left w:val="nil"/>
              <w:bottom w:val="single" w:sz="4" w:space="0" w:color="auto"/>
              <w:right w:val="nil"/>
            </w:tcBorders>
            <w:shd w:val="clear" w:color="auto" w:fill="auto"/>
            <w:noWrap/>
            <w:vAlign w:val="bottom"/>
            <w:hideMark/>
          </w:tcPr>
          <w:p w14:paraId="2C6A5D07"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2.87</w:t>
            </w:r>
          </w:p>
        </w:tc>
        <w:tc>
          <w:tcPr>
            <w:tcW w:w="540" w:type="dxa"/>
            <w:tcBorders>
              <w:top w:val="nil"/>
              <w:left w:val="nil"/>
              <w:bottom w:val="single" w:sz="4" w:space="0" w:color="auto"/>
              <w:right w:val="nil"/>
            </w:tcBorders>
            <w:shd w:val="clear" w:color="auto" w:fill="auto"/>
            <w:noWrap/>
            <w:vAlign w:val="bottom"/>
            <w:hideMark/>
          </w:tcPr>
          <w:p w14:paraId="077FA3D9"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5.06</w:t>
            </w:r>
          </w:p>
        </w:tc>
        <w:tc>
          <w:tcPr>
            <w:tcW w:w="627" w:type="dxa"/>
            <w:tcBorders>
              <w:top w:val="nil"/>
              <w:left w:val="nil"/>
              <w:bottom w:val="single" w:sz="4" w:space="0" w:color="auto"/>
              <w:right w:val="nil"/>
            </w:tcBorders>
            <w:shd w:val="clear" w:color="auto" w:fill="auto"/>
            <w:noWrap/>
            <w:vAlign w:val="bottom"/>
            <w:hideMark/>
          </w:tcPr>
          <w:p w14:paraId="46BD6831"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14.28</w:t>
            </w: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14:paraId="6B52E7A8"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22.3</w:t>
            </w:r>
          </w:p>
        </w:tc>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668DF949" w14:textId="77777777" w:rsidR="003B76EB" w:rsidRPr="007C740F" w:rsidRDefault="003B76EB" w:rsidP="00DD03FD">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64</w:t>
            </w:r>
          </w:p>
        </w:tc>
      </w:tr>
    </w:tbl>
    <w:p w14:paraId="3A2ED876" w14:textId="604D4A99" w:rsidR="003B76EB" w:rsidRPr="007C740F" w:rsidRDefault="003B76EB" w:rsidP="003B76EB">
      <w:pPr>
        <w:pStyle w:val="Tableheading"/>
      </w:pPr>
      <w:r w:rsidRPr="007C740F">
        <w:t xml:space="preserve">Table </w:t>
      </w:r>
      <w:r w:rsidR="008B0B70" w:rsidRPr="007C740F">
        <w:t>11</w:t>
      </w:r>
      <w:r w:rsidRPr="007C740F">
        <w:t xml:space="preserve">. </w:t>
      </w:r>
      <w:r w:rsidR="00A856AF" w:rsidRPr="007C740F">
        <w:t>Endogenous congenital disorders. Potential</w:t>
      </w:r>
      <w:r w:rsidRPr="007C740F">
        <w:t xml:space="preserve"> reduction in adverse outcomes</w:t>
      </w:r>
      <w:r w:rsidR="00A856AF" w:rsidRPr="007C740F">
        <w:t xml:space="preserve"> </w:t>
      </w:r>
      <w:r w:rsidRPr="007C740F">
        <w:t>if all interventions were fully implemented, by type of intervention</w:t>
      </w:r>
      <w:r w:rsidR="00A15425" w:rsidRPr="007C740F">
        <w:t xml:space="preserve"> </w:t>
      </w:r>
      <w:r w:rsidR="00A856AF" w:rsidRPr="007C740F">
        <w:t>and WHO region</w:t>
      </w:r>
      <w:r w:rsidRPr="007C740F">
        <w:t>.</w:t>
      </w:r>
    </w:p>
    <w:tbl>
      <w:tblPr>
        <w:tblW w:w="7679" w:type="dxa"/>
        <w:jc w:val="center"/>
        <w:tblLook w:val="04A0" w:firstRow="1" w:lastRow="0" w:firstColumn="1" w:lastColumn="0" w:noHBand="0" w:noVBand="1"/>
      </w:tblPr>
      <w:tblGrid>
        <w:gridCol w:w="1035"/>
        <w:gridCol w:w="840"/>
        <w:gridCol w:w="827"/>
        <w:gridCol w:w="679"/>
        <w:gridCol w:w="709"/>
        <w:gridCol w:w="572"/>
        <w:gridCol w:w="540"/>
        <w:gridCol w:w="627"/>
        <w:gridCol w:w="925"/>
        <w:gridCol w:w="925"/>
      </w:tblGrid>
      <w:tr w:rsidR="003B76EB" w:rsidRPr="007C740F" w14:paraId="0860EC79" w14:textId="77777777" w:rsidTr="003B76EB">
        <w:trPr>
          <w:trHeight w:val="284"/>
          <w:jc w:val="center"/>
        </w:trPr>
        <w:tc>
          <w:tcPr>
            <w:tcW w:w="1035" w:type="dxa"/>
            <w:vMerge w:val="restart"/>
            <w:tcBorders>
              <w:top w:val="single" w:sz="4" w:space="0" w:color="auto"/>
              <w:left w:val="single" w:sz="4" w:space="0" w:color="auto"/>
              <w:right w:val="single" w:sz="4" w:space="0" w:color="auto"/>
            </w:tcBorders>
            <w:shd w:val="clear" w:color="auto" w:fill="auto"/>
            <w:vAlign w:val="center"/>
          </w:tcPr>
          <w:p w14:paraId="7EF639EB"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WHO  region</w:t>
            </w:r>
          </w:p>
        </w:tc>
        <w:tc>
          <w:tcPr>
            <w:tcW w:w="840" w:type="dxa"/>
            <w:vMerge w:val="restart"/>
            <w:tcBorders>
              <w:top w:val="single" w:sz="4" w:space="0" w:color="auto"/>
              <w:left w:val="single" w:sz="4" w:space="0" w:color="auto"/>
              <w:right w:val="nil"/>
            </w:tcBorders>
            <w:shd w:val="clear" w:color="auto" w:fill="auto"/>
            <w:vAlign w:val="center"/>
          </w:tcPr>
          <w:p w14:paraId="4718E18F"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WPP births 1,000s</w:t>
            </w:r>
          </w:p>
        </w:tc>
        <w:tc>
          <w:tcPr>
            <w:tcW w:w="827" w:type="dxa"/>
            <w:vMerge w:val="restart"/>
            <w:tcBorders>
              <w:top w:val="single" w:sz="4" w:space="0" w:color="auto"/>
              <w:left w:val="single" w:sz="4" w:space="0" w:color="auto"/>
              <w:right w:val="nil"/>
            </w:tcBorders>
            <w:shd w:val="clear" w:color="auto" w:fill="auto"/>
            <w:vAlign w:val="center"/>
          </w:tcPr>
          <w:p w14:paraId="20920816"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Total baseline births /1,000</w:t>
            </w:r>
          </w:p>
        </w:tc>
        <w:tc>
          <w:tcPr>
            <w:tcW w:w="49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4D055E" w14:textId="37DB094A"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Potential reduction if all interventions implemented</w:t>
            </w:r>
          </w:p>
        </w:tc>
      </w:tr>
      <w:tr w:rsidR="003B76EB" w:rsidRPr="007C740F" w14:paraId="31329C40" w14:textId="77777777" w:rsidTr="003B76EB">
        <w:trPr>
          <w:trHeight w:val="284"/>
          <w:jc w:val="center"/>
        </w:trPr>
        <w:tc>
          <w:tcPr>
            <w:tcW w:w="1035" w:type="dxa"/>
            <w:vMerge/>
            <w:tcBorders>
              <w:left w:val="single" w:sz="4" w:space="0" w:color="auto"/>
              <w:right w:val="single" w:sz="4" w:space="0" w:color="auto"/>
            </w:tcBorders>
            <w:shd w:val="clear" w:color="auto" w:fill="auto"/>
            <w:vAlign w:val="center"/>
          </w:tcPr>
          <w:p w14:paraId="095C81DA" w14:textId="77777777" w:rsidR="003B76EB" w:rsidRPr="007C740F" w:rsidRDefault="003B76EB" w:rsidP="00340E11">
            <w:pPr>
              <w:spacing w:after="0" w:line="240" w:lineRule="auto"/>
              <w:rPr>
                <w:rFonts w:eastAsia="Times New Roman" w:cs="Times New Roman"/>
                <w:color w:val="000000"/>
                <w:sz w:val="18"/>
                <w:szCs w:val="18"/>
                <w:lang w:eastAsia="en-GB"/>
              </w:rPr>
            </w:pPr>
          </w:p>
        </w:tc>
        <w:tc>
          <w:tcPr>
            <w:tcW w:w="840" w:type="dxa"/>
            <w:vMerge/>
            <w:tcBorders>
              <w:left w:val="single" w:sz="4" w:space="0" w:color="auto"/>
              <w:right w:val="nil"/>
            </w:tcBorders>
            <w:shd w:val="clear" w:color="auto" w:fill="auto"/>
            <w:vAlign w:val="center"/>
          </w:tcPr>
          <w:p w14:paraId="3CEE3BE5" w14:textId="77777777" w:rsidR="003B76EB" w:rsidRPr="007C740F" w:rsidRDefault="003B76EB" w:rsidP="00340E11">
            <w:pPr>
              <w:spacing w:after="0" w:line="240" w:lineRule="auto"/>
              <w:rPr>
                <w:rFonts w:eastAsia="Times New Roman" w:cs="Times New Roman"/>
                <w:color w:val="000000"/>
                <w:sz w:val="18"/>
                <w:szCs w:val="18"/>
                <w:lang w:eastAsia="en-GB"/>
              </w:rPr>
            </w:pPr>
          </w:p>
        </w:tc>
        <w:tc>
          <w:tcPr>
            <w:tcW w:w="827" w:type="dxa"/>
            <w:vMerge/>
            <w:tcBorders>
              <w:left w:val="single" w:sz="4" w:space="0" w:color="auto"/>
              <w:right w:val="nil"/>
            </w:tcBorders>
            <w:shd w:val="clear" w:color="auto" w:fill="auto"/>
            <w:vAlign w:val="center"/>
          </w:tcPr>
          <w:p w14:paraId="1A7CA6C5" w14:textId="77777777" w:rsidR="003B76EB" w:rsidRPr="007C740F" w:rsidRDefault="003B76EB" w:rsidP="00340E11">
            <w:pPr>
              <w:spacing w:after="0" w:line="240" w:lineRule="auto"/>
              <w:jc w:val="center"/>
              <w:rPr>
                <w:rFonts w:eastAsia="Times New Roman" w:cs="Times New Roman"/>
                <w:color w:val="000000"/>
                <w:sz w:val="18"/>
                <w:szCs w:val="18"/>
                <w:lang w:eastAsia="en-GB"/>
              </w:rPr>
            </w:pPr>
          </w:p>
        </w:tc>
        <w:tc>
          <w:tcPr>
            <w:tcW w:w="4052" w:type="dxa"/>
            <w:gridSpan w:val="6"/>
            <w:tcBorders>
              <w:top w:val="nil"/>
              <w:left w:val="single" w:sz="4" w:space="0" w:color="auto"/>
              <w:bottom w:val="single" w:sz="4" w:space="0" w:color="auto"/>
              <w:right w:val="single" w:sz="4" w:space="0" w:color="auto"/>
            </w:tcBorders>
            <w:shd w:val="clear" w:color="auto" w:fill="auto"/>
            <w:vAlign w:val="center"/>
          </w:tcPr>
          <w:p w14:paraId="3B16A098"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Rates /1,000 births</w:t>
            </w:r>
          </w:p>
        </w:tc>
        <w:tc>
          <w:tcPr>
            <w:tcW w:w="925" w:type="dxa"/>
            <w:vMerge w:val="restart"/>
            <w:tcBorders>
              <w:top w:val="nil"/>
              <w:left w:val="single" w:sz="4" w:space="0" w:color="auto"/>
              <w:right w:val="single" w:sz="4" w:space="0" w:color="auto"/>
            </w:tcBorders>
            <w:shd w:val="clear" w:color="auto" w:fill="auto"/>
            <w:vAlign w:val="center"/>
          </w:tcPr>
          <w:p w14:paraId="6E1BB691" w14:textId="1B7D6B1D"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Potential % reduction</w:t>
            </w:r>
          </w:p>
        </w:tc>
      </w:tr>
      <w:tr w:rsidR="003B76EB" w:rsidRPr="007C740F" w14:paraId="6DEAF029" w14:textId="77777777" w:rsidTr="003B76EB">
        <w:trPr>
          <w:trHeight w:val="284"/>
          <w:jc w:val="center"/>
        </w:trPr>
        <w:tc>
          <w:tcPr>
            <w:tcW w:w="1035" w:type="dxa"/>
            <w:vMerge/>
            <w:tcBorders>
              <w:left w:val="single" w:sz="4" w:space="0" w:color="auto"/>
              <w:bottom w:val="single" w:sz="4" w:space="0" w:color="auto"/>
              <w:right w:val="single" w:sz="4" w:space="0" w:color="auto"/>
            </w:tcBorders>
            <w:shd w:val="clear" w:color="auto" w:fill="auto"/>
            <w:vAlign w:val="center"/>
            <w:hideMark/>
          </w:tcPr>
          <w:p w14:paraId="7DA10110" w14:textId="77777777" w:rsidR="003B76EB" w:rsidRPr="007C740F" w:rsidRDefault="003B76EB" w:rsidP="00340E11">
            <w:pPr>
              <w:spacing w:after="0" w:line="240" w:lineRule="auto"/>
              <w:rPr>
                <w:rFonts w:eastAsia="Times New Roman" w:cs="Times New Roman"/>
                <w:color w:val="000000"/>
                <w:sz w:val="18"/>
                <w:szCs w:val="18"/>
                <w:lang w:eastAsia="en-GB"/>
              </w:rPr>
            </w:pPr>
          </w:p>
        </w:tc>
        <w:tc>
          <w:tcPr>
            <w:tcW w:w="840" w:type="dxa"/>
            <w:vMerge/>
            <w:tcBorders>
              <w:left w:val="single" w:sz="4" w:space="0" w:color="auto"/>
              <w:bottom w:val="single" w:sz="4" w:space="0" w:color="auto"/>
              <w:right w:val="nil"/>
            </w:tcBorders>
            <w:shd w:val="clear" w:color="auto" w:fill="auto"/>
            <w:vAlign w:val="center"/>
            <w:hideMark/>
          </w:tcPr>
          <w:p w14:paraId="24B2BD66" w14:textId="77777777" w:rsidR="003B76EB" w:rsidRPr="007C740F" w:rsidRDefault="003B76EB" w:rsidP="00340E11">
            <w:pPr>
              <w:spacing w:after="0" w:line="240" w:lineRule="auto"/>
              <w:rPr>
                <w:rFonts w:eastAsia="Times New Roman" w:cs="Times New Roman"/>
                <w:color w:val="000000"/>
                <w:sz w:val="18"/>
                <w:szCs w:val="18"/>
                <w:lang w:eastAsia="en-GB"/>
              </w:rPr>
            </w:pPr>
          </w:p>
        </w:tc>
        <w:tc>
          <w:tcPr>
            <w:tcW w:w="827" w:type="dxa"/>
            <w:vMerge/>
            <w:tcBorders>
              <w:left w:val="single" w:sz="4" w:space="0" w:color="auto"/>
              <w:bottom w:val="single" w:sz="4" w:space="0" w:color="auto"/>
              <w:right w:val="nil"/>
            </w:tcBorders>
            <w:shd w:val="clear" w:color="auto" w:fill="auto"/>
            <w:vAlign w:val="center"/>
            <w:hideMark/>
          </w:tcPr>
          <w:p w14:paraId="7818ABD2" w14:textId="77777777" w:rsidR="003B76EB" w:rsidRPr="007C740F" w:rsidRDefault="003B76EB" w:rsidP="00340E11">
            <w:pPr>
              <w:spacing w:after="0" w:line="240" w:lineRule="auto"/>
              <w:jc w:val="center"/>
              <w:rPr>
                <w:rFonts w:eastAsia="Times New Roman" w:cs="Times New Roman"/>
                <w:color w:val="000000"/>
                <w:sz w:val="18"/>
                <w:szCs w:val="18"/>
                <w:lang w:eastAsia="en-GB"/>
              </w:rPr>
            </w:pPr>
          </w:p>
        </w:tc>
        <w:tc>
          <w:tcPr>
            <w:tcW w:w="679" w:type="dxa"/>
            <w:tcBorders>
              <w:top w:val="nil"/>
              <w:left w:val="single" w:sz="4" w:space="0" w:color="auto"/>
              <w:bottom w:val="single" w:sz="4" w:space="0" w:color="auto"/>
              <w:right w:val="nil"/>
            </w:tcBorders>
            <w:shd w:val="clear" w:color="auto" w:fill="auto"/>
            <w:vAlign w:val="center"/>
            <w:hideMark/>
          </w:tcPr>
          <w:p w14:paraId="65849936"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Folic acid</w:t>
            </w:r>
          </w:p>
        </w:tc>
        <w:tc>
          <w:tcPr>
            <w:tcW w:w="709" w:type="dxa"/>
            <w:tcBorders>
              <w:top w:val="nil"/>
              <w:left w:val="nil"/>
              <w:bottom w:val="single" w:sz="4" w:space="0" w:color="auto"/>
              <w:right w:val="nil"/>
            </w:tcBorders>
            <w:shd w:val="clear" w:color="auto" w:fill="auto"/>
            <w:vAlign w:val="center"/>
            <w:hideMark/>
          </w:tcPr>
          <w:p w14:paraId="2AF6AB9F"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Genet. couns.</w:t>
            </w:r>
          </w:p>
        </w:tc>
        <w:tc>
          <w:tcPr>
            <w:tcW w:w="572" w:type="dxa"/>
            <w:tcBorders>
              <w:top w:val="nil"/>
              <w:left w:val="nil"/>
              <w:bottom w:val="single" w:sz="4" w:space="0" w:color="auto"/>
              <w:right w:val="nil"/>
            </w:tcBorders>
            <w:shd w:val="clear" w:color="auto" w:fill="auto"/>
            <w:vAlign w:val="center"/>
            <w:hideMark/>
          </w:tcPr>
          <w:p w14:paraId="5422C807"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Anti-D</w:t>
            </w:r>
          </w:p>
        </w:tc>
        <w:tc>
          <w:tcPr>
            <w:tcW w:w="540" w:type="dxa"/>
            <w:tcBorders>
              <w:top w:val="nil"/>
              <w:left w:val="nil"/>
              <w:bottom w:val="single" w:sz="4" w:space="0" w:color="auto"/>
              <w:right w:val="nil"/>
            </w:tcBorders>
            <w:shd w:val="clear" w:color="auto" w:fill="auto"/>
            <w:vAlign w:val="center"/>
            <w:hideMark/>
          </w:tcPr>
          <w:p w14:paraId="5560A981"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TOP</w:t>
            </w:r>
          </w:p>
        </w:tc>
        <w:tc>
          <w:tcPr>
            <w:tcW w:w="627" w:type="dxa"/>
            <w:tcBorders>
              <w:top w:val="nil"/>
              <w:left w:val="nil"/>
              <w:bottom w:val="single" w:sz="4" w:space="0" w:color="auto"/>
              <w:right w:val="nil"/>
            </w:tcBorders>
            <w:shd w:val="clear" w:color="auto" w:fill="auto"/>
            <w:vAlign w:val="center"/>
            <w:hideMark/>
          </w:tcPr>
          <w:p w14:paraId="7853A874"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Cure</w:t>
            </w:r>
          </w:p>
        </w:tc>
        <w:tc>
          <w:tcPr>
            <w:tcW w:w="925" w:type="dxa"/>
            <w:tcBorders>
              <w:top w:val="nil"/>
              <w:left w:val="single" w:sz="4" w:space="0" w:color="auto"/>
              <w:bottom w:val="single" w:sz="4" w:space="0" w:color="auto"/>
              <w:right w:val="single" w:sz="4" w:space="0" w:color="auto"/>
            </w:tcBorders>
            <w:shd w:val="clear" w:color="auto" w:fill="auto"/>
            <w:vAlign w:val="center"/>
            <w:hideMark/>
          </w:tcPr>
          <w:p w14:paraId="3C726E3D" w14:textId="77777777" w:rsidR="003B76EB" w:rsidRPr="007C740F" w:rsidRDefault="003B76EB" w:rsidP="00340E11">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Total actual reduction /1,000</w:t>
            </w:r>
          </w:p>
        </w:tc>
        <w:tc>
          <w:tcPr>
            <w:tcW w:w="925" w:type="dxa"/>
            <w:vMerge/>
            <w:tcBorders>
              <w:left w:val="single" w:sz="4" w:space="0" w:color="auto"/>
              <w:bottom w:val="single" w:sz="4" w:space="0" w:color="auto"/>
              <w:right w:val="single" w:sz="4" w:space="0" w:color="auto"/>
            </w:tcBorders>
            <w:shd w:val="clear" w:color="auto" w:fill="auto"/>
            <w:vAlign w:val="center"/>
            <w:hideMark/>
          </w:tcPr>
          <w:p w14:paraId="0CFBFCFE" w14:textId="77777777" w:rsidR="003B76EB" w:rsidRPr="007C740F" w:rsidRDefault="003B76EB" w:rsidP="00340E11">
            <w:pPr>
              <w:spacing w:after="0" w:line="240" w:lineRule="auto"/>
              <w:jc w:val="center"/>
              <w:rPr>
                <w:rFonts w:eastAsia="Times New Roman" w:cs="Times New Roman"/>
                <w:color w:val="000000"/>
                <w:sz w:val="18"/>
                <w:szCs w:val="18"/>
                <w:lang w:eastAsia="en-GB"/>
              </w:rPr>
            </w:pPr>
          </w:p>
        </w:tc>
      </w:tr>
      <w:tr w:rsidR="003B76EB" w:rsidRPr="007C740F" w14:paraId="015E4F44"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90C51B9"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EMR</w:t>
            </w:r>
          </w:p>
        </w:tc>
        <w:tc>
          <w:tcPr>
            <w:tcW w:w="840" w:type="dxa"/>
            <w:tcBorders>
              <w:top w:val="nil"/>
              <w:left w:val="single" w:sz="4" w:space="0" w:color="auto"/>
              <w:bottom w:val="nil"/>
              <w:right w:val="nil"/>
            </w:tcBorders>
            <w:shd w:val="clear" w:color="auto" w:fill="auto"/>
            <w:noWrap/>
            <w:vAlign w:val="center"/>
            <w:hideMark/>
          </w:tcPr>
          <w:p w14:paraId="18A817BA"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16,906</w:t>
            </w:r>
          </w:p>
        </w:tc>
        <w:tc>
          <w:tcPr>
            <w:tcW w:w="827" w:type="dxa"/>
            <w:tcBorders>
              <w:top w:val="nil"/>
              <w:left w:val="single" w:sz="4" w:space="0" w:color="auto"/>
              <w:bottom w:val="nil"/>
              <w:right w:val="nil"/>
            </w:tcBorders>
            <w:shd w:val="clear" w:color="auto" w:fill="auto"/>
            <w:noWrap/>
            <w:vAlign w:val="bottom"/>
            <w:hideMark/>
          </w:tcPr>
          <w:p w14:paraId="03A2F52B"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52.0</w:t>
            </w:r>
          </w:p>
        </w:tc>
        <w:tc>
          <w:tcPr>
            <w:tcW w:w="679" w:type="dxa"/>
            <w:tcBorders>
              <w:top w:val="nil"/>
              <w:left w:val="single" w:sz="4" w:space="0" w:color="auto"/>
              <w:bottom w:val="nil"/>
              <w:right w:val="nil"/>
            </w:tcBorders>
            <w:shd w:val="clear" w:color="auto" w:fill="auto"/>
            <w:noWrap/>
            <w:vAlign w:val="bottom"/>
            <w:hideMark/>
          </w:tcPr>
          <w:p w14:paraId="1DA427BF" w14:textId="178C9E79"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2.11</w:t>
            </w:r>
          </w:p>
        </w:tc>
        <w:tc>
          <w:tcPr>
            <w:tcW w:w="709" w:type="dxa"/>
            <w:tcBorders>
              <w:top w:val="nil"/>
              <w:left w:val="nil"/>
              <w:bottom w:val="nil"/>
              <w:right w:val="nil"/>
            </w:tcBorders>
            <w:shd w:val="clear" w:color="auto" w:fill="auto"/>
            <w:noWrap/>
            <w:vAlign w:val="bottom"/>
            <w:hideMark/>
          </w:tcPr>
          <w:p w14:paraId="3D959BE9" w14:textId="37D1F07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0.84</w:t>
            </w:r>
          </w:p>
        </w:tc>
        <w:tc>
          <w:tcPr>
            <w:tcW w:w="572" w:type="dxa"/>
            <w:tcBorders>
              <w:top w:val="nil"/>
              <w:left w:val="nil"/>
              <w:bottom w:val="nil"/>
              <w:right w:val="nil"/>
            </w:tcBorders>
            <w:shd w:val="clear" w:color="auto" w:fill="auto"/>
            <w:noWrap/>
            <w:vAlign w:val="bottom"/>
            <w:hideMark/>
          </w:tcPr>
          <w:p w14:paraId="2F8B0519" w14:textId="496187AE"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3.72</w:t>
            </w:r>
          </w:p>
        </w:tc>
        <w:tc>
          <w:tcPr>
            <w:tcW w:w="540" w:type="dxa"/>
            <w:tcBorders>
              <w:top w:val="nil"/>
              <w:left w:val="nil"/>
              <w:bottom w:val="nil"/>
              <w:right w:val="nil"/>
            </w:tcBorders>
            <w:shd w:val="clear" w:color="auto" w:fill="auto"/>
            <w:noWrap/>
            <w:vAlign w:val="bottom"/>
            <w:hideMark/>
          </w:tcPr>
          <w:p w14:paraId="034F668E" w14:textId="17A75080"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4.84</w:t>
            </w:r>
          </w:p>
        </w:tc>
        <w:tc>
          <w:tcPr>
            <w:tcW w:w="627" w:type="dxa"/>
            <w:tcBorders>
              <w:top w:val="nil"/>
              <w:left w:val="nil"/>
              <w:bottom w:val="nil"/>
              <w:right w:val="nil"/>
            </w:tcBorders>
            <w:shd w:val="clear" w:color="auto" w:fill="auto"/>
            <w:noWrap/>
            <w:vAlign w:val="bottom"/>
            <w:hideMark/>
          </w:tcPr>
          <w:p w14:paraId="181DFA3B" w14:textId="7A360E81"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14.10</w:t>
            </w:r>
          </w:p>
        </w:tc>
        <w:tc>
          <w:tcPr>
            <w:tcW w:w="925" w:type="dxa"/>
            <w:tcBorders>
              <w:top w:val="nil"/>
              <w:left w:val="single" w:sz="4" w:space="0" w:color="auto"/>
              <w:bottom w:val="nil"/>
              <w:right w:val="single" w:sz="4" w:space="0" w:color="auto"/>
            </w:tcBorders>
            <w:shd w:val="clear" w:color="auto" w:fill="auto"/>
            <w:noWrap/>
            <w:vAlign w:val="bottom"/>
            <w:hideMark/>
          </w:tcPr>
          <w:p w14:paraId="51155618" w14:textId="12473083"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25.6</w:t>
            </w:r>
          </w:p>
        </w:tc>
        <w:tc>
          <w:tcPr>
            <w:tcW w:w="925" w:type="dxa"/>
            <w:tcBorders>
              <w:top w:val="nil"/>
              <w:left w:val="single" w:sz="4" w:space="0" w:color="auto"/>
              <w:bottom w:val="nil"/>
              <w:right w:val="single" w:sz="4" w:space="0" w:color="auto"/>
            </w:tcBorders>
            <w:shd w:val="clear" w:color="auto" w:fill="auto"/>
            <w:noWrap/>
            <w:vAlign w:val="bottom"/>
            <w:hideMark/>
          </w:tcPr>
          <w:p w14:paraId="3A94AB17" w14:textId="79EF1849"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ascii="Calibri" w:eastAsia="Times New Roman" w:hAnsi="Calibri" w:cs="Times New Roman"/>
                <w:color w:val="000000"/>
                <w:sz w:val="18"/>
                <w:szCs w:val="18"/>
                <w:lang w:eastAsia="en-GB"/>
              </w:rPr>
              <w:t>49</w:t>
            </w:r>
          </w:p>
        </w:tc>
      </w:tr>
      <w:tr w:rsidR="003B76EB" w:rsidRPr="007C740F" w14:paraId="07FF7C86"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1A13A651"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AFR</w:t>
            </w:r>
          </w:p>
        </w:tc>
        <w:tc>
          <w:tcPr>
            <w:tcW w:w="840" w:type="dxa"/>
            <w:tcBorders>
              <w:top w:val="nil"/>
              <w:left w:val="single" w:sz="4" w:space="0" w:color="auto"/>
              <w:bottom w:val="nil"/>
              <w:right w:val="nil"/>
            </w:tcBorders>
            <w:shd w:val="clear" w:color="auto" w:fill="auto"/>
            <w:noWrap/>
            <w:vAlign w:val="center"/>
            <w:hideMark/>
          </w:tcPr>
          <w:p w14:paraId="7EE03742"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34,647</w:t>
            </w:r>
          </w:p>
        </w:tc>
        <w:tc>
          <w:tcPr>
            <w:tcW w:w="827" w:type="dxa"/>
            <w:tcBorders>
              <w:top w:val="nil"/>
              <w:left w:val="single" w:sz="4" w:space="0" w:color="auto"/>
              <w:bottom w:val="nil"/>
              <w:right w:val="nil"/>
            </w:tcBorders>
            <w:shd w:val="clear" w:color="auto" w:fill="auto"/>
            <w:noWrap/>
            <w:vAlign w:val="bottom"/>
            <w:hideMark/>
          </w:tcPr>
          <w:p w14:paraId="7AB4CF67"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46.3</w:t>
            </w:r>
          </w:p>
        </w:tc>
        <w:tc>
          <w:tcPr>
            <w:tcW w:w="679" w:type="dxa"/>
            <w:tcBorders>
              <w:top w:val="nil"/>
              <w:left w:val="single" w:sz="4" w:space="0" w:color="auto"/>
              <w:bottom w:val="nil"/>
              <w:right w:val="nil"/>
            </w:tcBorders>
            <w:shd w:val="clear" w:color="auto" w:fill="auto"/>
            <w:noWrap/>
            <w:vAlign w:val="bottom"/>
            <w:hideMark/>
          </w:tcPr>
          <w:p w14:paraId="0585A4B9" w14:textId="28F27E2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0.58</w:t>
            </w:r>
          </w:p>
        </w:tc>
        <w:tc>
          <w:tcPr>
            <w:tcW w:w="709" w:type="dxa"/>
            <w:tcBorders>
              <w:top w:val="nil"/>
              <w:left w:val="nil"/>
              <w:bottom w:val="nil"/>
              <w:right w:val="nil"/>
            </w:tcBorders>
            <w:shd w:val="clear" w:color="auto" w:fill="auto"/>
            <w:noWrap/>
            <w:vAlign w:val="bottom"/>
            <w:hideMark/>
          </w:tcPr>
          <w:p w14:paraId="730CFBE2" w14:textId="461BCD93"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1.71</w:t>
            </w:r>
          </w:p>
        </w:tc>
        <w:tc>
          <w:tcPr>
            <w:tcW w:w="572" w:type="dxa"/>
            <w:tcBorders>
              <w:top w:val="nil"/>
              <w:left w:val="nil"/>
              <w:bottom w:val="nil"/>
              <w:right w:val="nil"/>
            </w:tcBorders>
            <w:shd w:val="clear" w:color="auto" w:fill="auto"/>
            <w:noWrap/>
            <w:vAlign w:val="bottom"/>
            <w:hideMark/>
          </w:tcPr>
          <w:p w14:paraId="54281386" w14:textId="27272749"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2.94</w:t>
            </w:r>
          </w:p>
        </w:tc>
        <w:tc>
          <w:tcPr>
            <w:tcW w:w="540" w:type="dxa"/>
            <w:tcBorders>
              <w:top w:val="nil"/>
              <w:left w:val="nil"/>
              <w:bottom w:val="nil"/>
              <w:right w:val="nil"/>
            </w:tcBorders>
            <w:shd w:val="clear" w:color="auto" w:fill="auto"/>
            <w:noWrap/>
            <w:vAlign w:val="bottom"/>
            <w:hideMark/>
          </w:tcPr>
          <w:p w14:paraId="2081D06D" w14:textId="3846A77A"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4.43</w:t>
            </w:r>
          </w:p>
        </w:tc>
        <w:tc>
          <w:tcPr>
            <w:tcW w:w="627" w:type="dxa"/>
            <w:tcBorders>
              <w:top w:val="nil"/>
              <w:left w:val="nil"/>
              <w:bottom w:val="nil"/>
              <w:right w:val="nil"/>
            </w:tcBorders>
            <w:shd w:val="clear" w:color="auto" w:fill="auto"/>
            <w:noWrap/>
            <w:vAlign w:val="bottom"/>
            <w:hideMark/>
          </w:tcPr>
          <w:p w14:paraId="2F25A9C9" w14:textId="02FC548F"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12.73</w:t>
            </w:r>
          </w:p>
        </w:tc>
        <w:tc>
          <w:tcPr>
            <w:tcW w:w="925" w:type="dxa"/>
            <w:tcBorders>
              <w:top w:val="nil"/>
              <w:left w:val="single" w:sz="4" w:space="0" w:color="auto"/>
              <w:bottom w:val="nil"/>
              <w:right w:val="single" w:sz="4" w:space="0" w:color="auto"/>
            </w:tcBorders>
            <w:shd w:val="clear" w:color="auto" w:fill="auto"/>
            <w:noWrap/>
            <w:vAlign w:val="bottom"/>
            <w:hideMark/>
          </w:tcPr>
          <w:p w14:paraId="52EF42BC" w14:textId="53E1AB69"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22.4</w:t>
            </w:r>
          </w:p>
        </w:tc>
        <w:tc>
          <w:tcPr>
            <w:tcW w:w="925" w:type="dxa"/>
            <w:tcBorders>
              <w:top w:val="nil"/>
              <w:left w:val="single" w:sz="4" w:space="0" w:color="auto"/>
              <w:bottom w:val="nil"/>
              <w:right w:val="single" w:sz="4" w:space="0" w:color="auto"/>
            </w:tcBorders>
            <w:shd w:val="clear" w:color="auto" w:fill="auto"/>
            <w:noWrap/>
            <w:vAlign w:val="bottom"/>
            <w:hideMark/>
          </w:tcPr>
          <w:p w14:paraId="3FE00169" w14:textId="41ECB904"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ascii="Calibri" w:eastAsia="Times New Roman" w:hAnsi="Calibri" w:cs="Times New Roman"/>
                <w:color w:val="000000"/>
                <w:sz w:val="18"/>
                <w:szCs w:val="18"/>
                <w:lang w:eastAsia="en-GB"/>
              </w:rPr>
              <w:t>48</w:t>
            </w:r>
          </w:p>
        </w:tc>
      </w:tr>
      <w:tr w:rsidR="003B76EB" w:rsidRPr="007C740F" w14:paraId="3C4C530E"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F58C47E"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SEAR</w:t>
            </w:r>
          </w:p>
        </w:tc>
        <w:tc>
          <w:tcPr>
            <w:tcW w:w="840" w:type="dxa"/>
            <w:tcBorders>
              <w:top w:val="nil"/>
              <w:left w:val="single" w:sz="4" w:space="0" w:color="auto"/>
              <w:bottom w:val="nil"/>
              <w:right w:val="nil"/>
            </w:tcBorders>
            <w:shd w:val="clear" w:color="auto" w:fill="auto"/>
            <w:noWrap/>
            <w:vAlign w:val="center"/>
            <w:hideMark/>
          </w:tcPr>
          <w:p w14:paraId="3B770F3C"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37,304</w:t>
            </w:r>
          </w:p>
        </w:tc>
        <w:tc>
          <w:tcPr>
            <w:tcW w:w="827" w:type="dxa"/>
            <w:tcBorders>
              <w:top w:val="nil"/>
              <w:left w:val="single" w:sz="4" w:space="0" w:color="auto"/>
              <w:bottom w:val="nil"/>
              <w:right w:val="nil"/>
            </w:tcBorders>
            <w:shd w:val="clear" w:color="auto" w:fill="auto"/>
            <w:noWrap/>
            <w:vAlign w:val="bottom"/>
            <w:hideMark/>
          </w:tcPr>
          <w:p w14:paraId="61903534"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37.8</w:t>
            </w:r>
          </w:p>
        </w:tc>
        <w:tc>
          <w:tcPr>
            <w:tcW w:w="679" w:type="dxa"/>
            <w:tcBorders>
              <w:top w:val="nil"/>
              <w:left w:val="single" w:sz="4" w:space="0" w:color="auto"/>
              <w:bottom w:val="nil"/>
              <w:right w:val="nil"/>
            </w:tcBorders>
            <w:shd w:val="clear" w:color="auto" w:fill="auto"/>
            <w:noWrap/>
            <w:vAlign w:val="bottom"/>
            <w:hideMark/>
          </w:tcPr>
          <w:p w14:paraId="745605DF" w14:textId="7DE0A70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2.34</w:t>
            </w:r>
          </w:p>
        </w:tc>
        <w:tc>
          <w:tcPr>
            <w:tcW w:w="709" w:type="dxa"/>
            <w:tcBorders>
              <w:top w:val="nil"/>
              <w:left w:val="nil"/>
              <w:bottom w:val="nil"/>
              <w:right w:val="nil"/>
            </w:tcBorders>
            <w:shd w:val="clear" w:color="auto" w:fill="auto"/>
            <w:noWrap/>
            <w:vAlign w:val="bottom"/>
            <w:hideMark/>
          </w:tcPr>
          <w:p w14:paraId="232C3120" w14:textId="30B0A60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0.63</w:t>
            </w:r>
          </w:p>
        </w:tc>
        <w:tc>
          <w:tcPr>
            <w:tcW w:w="572" w:type="dxa"/>
            <w:tcBorders>
              <w:top w:val="nil"/>
              <w:left w:val="nil"/>
              <w:bottom w:val="nil"/>
              <w:right w:val="nil"/>
            </w:tcBorders>
            <w:shd w:val="clear" w:color="auto" w:fill="auto"/>
            <w:noWrap/>
            <w:vAlign w:val="bottom"/>
            <w:hideMark/>
          </w:tcPr>
          <w:p w14:paraId="71656EDD" w14:textId="5E04FBEE"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1.40</w:t>
            </w:r>
          </w:p>
        </w:tc>
        <w:tc>
          <w:tcPr>
            <w:tcW w:w="540" w:type="dxa"/>
            <w:tcBorders>
              <w:top w:val="nil"/>
              <w:left w:val="nil"/>
              <w:bottom w:val="nil"/>
              <w:right w:val="nil"/>
            </w:tcBorders>
            <w:shd w:val="clear" w:color="auto" w:fill="auto"/>
            <w:noWrap/>
            <w:vAlign w:val="bottom"/>
            <w:hideMark/>
          </w:tcPr>
          <w:p w14:paraId="5B5B171C" w14:textId="749F3619"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4.16</w:t>
            </w:r>
          </w:p>
        </w:tc>
        <w:tc>
          <w:tcPr>
            <w:tcW w:w="627" w:type="dxa"/>
            <w:tcBorders>
              <w:top w:val="nil"/>
              <w:left w:val="nil"/>
              <w:bottom w:val="nil"/>
              <w:right w:val="nil"/>
            </w:tcBorders>
            <w:shd w:val="clear" w:color="auto" w:fill="auto"/>
            <w:noWrap/>
            <w:vAlign w:val="bottom"/>
            <w:hideMark/>
          </w:tcPr>
          <w:p w14:paraId="50926CB4" w14:textId="4FEB5628"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13.65</w:t>
            </w:r>
          </w:p>
        </w:tc>
        <w:tc>
          <w:tcPr>
            <w:tcW w:w="925" w:type="dxa"/>
            <w:tcBorders>
              <w:top w:val="nil"/>
              <w:left w:val="single" w:sz="4" w:space="0" w:color="auto"/>
              <w:bottom w:val="nil"/>
              <w:right w:val="single" w:sz="4" w:space="0" w:color="auto"/>
            </w:tcBorders>
            <w:shd w:val="clear" w:color="auto" w:fill="auto"/>
            <w:noWrap/>
            <w:vAlign w:val="bottom"/>
            <w:hideMark/>
          </w:tcPr>
          <w:p w14:paraId="1C6125EF" w14:textId="68C04438"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22.2</w:t>
            </w:r>
          </w:p>
        </w:tc>
        <w:tc>
          <w:tcPr>
            <w:tcW w:w="925" w:type="dxa"/>
            <w:tcBorders>
              <w:top w:val="nil"/>
              <w:left w:val="single" w:sz="4" w:space="0" w:color="auto"/>
              <w:bottom w:val="nil"/>
              <w:right w:val="single" w:sz="4" w:space="0" w:color="auto"/>
            </w:tcBorders>
            <w:shd w:val="clear" w:color="auto" w:fill="auto"/>
            <w:noWrap/>
            <w:vAlign w:val="bottom"/>
            <w:hideMark/>
          </w:tcPr>
          <w:p w14:paraId="55F914EB" w14:textId="0ABAB21D"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59</w:t>
            </w:r>
          </w:p>
        </w:tc>
      </w:tr>
      <w:tr w:rsidR="003B76EB" w:rsidRPr="007C740F" w14:paraId="22D1F3D5"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571B0A30"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EUR</w:t>
            </w:r>
          </w:p>
        </w:tc>
        <w:tc>
          <w:tcPr>
            <w:tcW w:w="840" w:type="dxa"/>
            <w:tcBorders>
              <w:top w:val="nil"/>
              <w:left w:val="single" w:sz="4" w:space="0" w:color="auto"/>
              <w:bottom w:val="nil"/>
              <w:right w:val="nil"/>
            </w:tcBorders>
            <w:shd w:val="clear" w:color="auto" w:fill="auto"/>
            <w:noWrap/>
            <w:vAlign w:val="center"/>
            <w:hideMark/>
          </w:tcPr>
          <w:p w14:paraId="4362C5EE"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11,296</w:t>
            </w:r>
          </w:p>
        </w:tc>
        <w:tc>
          <w:tcPr>
            <w:tcW w:w="827" w:type="dxa"/>
            <w:tcBorders>
              <w:top w:val="nil"/>
              <w:left w:val="single" w:sz="4" w:space="0" w:color="auto"/>
              <w:bottom w:val="nil"/>
              <w:right w:val="nil"/>
            </w:tcBorders>
            <w:shd w:val="clear" w:color="auto" w:fill="auto"/>
            <w:noWrap/>
            <w:vAlign w:val="bottom"/>
            <w:hideMark/>
          </w:tcPr>
          <w:p w14:paraId="3F5003EB"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35.8</w:t>
            </w:r>
          </w:p>
        </w:tc>
        <w:tc>
          <w:tcPr>
            <w:tcW w:w="679" w:type="dxa"/>
            <w:tcBorders>
              <w:top w:val="nil"/>
              <w:left w:val="single" w:sz="4" w:space="0" w:color="auto"/>
              <w:bottom w:val="nil"/>
              <w:right w:val="nil"/>
            </w:tcBorders>
            <w:shd w:val="clear" w:color="auto" w:fill="auto"/>
            <w:noWrap/>
            <w:vAlign w:val="bottom"/>
            <w:hideMark/>
          </w:tcPr>
          <w:p w14:paraId="7BB31AA5" w14:textId="0990310C"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0.65</w:t>
            </w:r>
          </w:p>
        </w:tc>
        <w:tc>
          <w:tcPr>
            <w:tcW w:w="709" w:type="dxa"/>
            <w:tcBorders>
              <w:top w:val="nil"/>
              <w:left w:val="nil"/>
              <w:bottom w:val="nil"/>
              <w:right w:val="nil"/>
            </w:tcBorders>
            <w:shd w:val="clear" w:color="auto" w:fill="auto"/>
            <w:noWrap/>
            <w:vAlign w:val="bottom"/>
            <w:hideMark/>
          </w:tcPr>
          <w:p w14:paraId="211228B3" w14:textId="1D3E0D71"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0.13</w:t>
            </w:r>
          </w:p>
        </w:tc>
        <w:tc>
          <w:tcPr>
            <w:tcW w:w="572" w:type="dxa"/>
            <w:tcBorders>
              <w:top w:val="nil"/>
              <w:left w:val="nil"/>
              <w:bottom w:val="nil"/>
              <w:right w:val="nil"/>
            </w:tcBorders>
            <w:shd w:val="clear" w:color="auto" w:fill="auto"/>
            <w:noWrap/>
            <w:vAlign w:val="bottom"/>
            <w:hideMark/>
          </w:tcPr>
          <w:p w14:paraId="50B01F23" w14:textId="539857D6"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2.72</w:t>
            </w:r>
          </w:p>
        </w:tc>
        <w:tc>
          <w:tcPr>
            <w:tcW w:w="540" w:type="dxa"/>
            <w:tcBorders>
              <w:top w:val="nil"/>
              <w:left w:val="nil"/>
              <w:bottom w:val="nil"/>
              <w:right w:val="nil"/>
            </w:tcBorders>
            <w:shd w:val="clear" w:color="auto" w:fill="auto"/>
            <w:noWrap/>
            <w:vAlign w:val="bottom"/>
            <w:hideMark/>
          </w:tcPr>
          <w:p w14:paraId="0FA75FD4" w14:textId="27D4E35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4.42</w:t>
            </w:r>
          </w:p>
        </w:tc>
        <w:tc>
          <w:tcPr>
            <w:tcW w:w="627" w:type="dxa"/>
            <w:tcBorders>
              <w:top w:val="nil"/>
              <w:left w:val="nil"/>
              <w:bottom w:val="nil"/>
              <w:right w:val="nil"/>
            </w:tcBorders>
            <w:shd w:val="clear" w:color="auto" w:fill="auto"/>
            <w:noWrap/>
            <w:vAlign w:val="bottom"/>
            <w:hideMark/>
          </w:tcPr>
          <w:p w14:paraId="231400E3" w14:textId="7C83AC2D"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13.83</w:t>
            </w:r>
          </w:p>
        </w:tc>
        <w:tc>
          <w:tcPr>
            <w:tcW w:w="925" w:type="dxa"/>
            <w:tcBorders>
              <w:top w:val="nil"/>
              <w:left w:val="single" w:sz="4" w:space="0" w:color="auto"/>
              <w:bottom w:val="nil"/>
              <w:right w:val="single" w:sz="4" w:space="0" w:color="auto"/>
            </w:tcBorders>
            <w:shd w:val="clear" w:color="auto" w:fill="auto"/>
            <w:noWrap/>
            <w:vAlign w:val="bottom"/>
            <w:hideMark/>
          </w:tcPr>
          <w:p w14:paraId="5172D922" w14:textId="2ADA9C40"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21.8</w:t>
            </w:r>
          </w:p>
        </w:tc>
        <w:tc>
          <w:tcPr>
            <w:tcW w:w="925" w:type="dxa"/>
            <w:tcBorders>
              <w:top w:val="nil"/>
              <w:left w:val="single" w:sz="4" w:space="0" w:color="auto"/>
              <w:bottom w:val="nil"/>
              <w:right w:val="single" w:sz="4" w:space="0" w:color="auto"/>
            </w:tcBorders>
            <w:shd w:val="clear" w:color="auto" w:fill="auto"/>
            <w:noWrap/>
            <w:vAlign w:val="bottom"/>
            <w:hideMark/>
          </w:tcPr>
          <w:p w14:paraId="3E00D0EF" w14:textId="32F68DBF"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61</w:t>
            </w:r>
          </w:p>
        </w:tc>
      </w:tr>
      <w:tr w:rsidR="003B76EB" w:rsidRPr="007C740F" w14:paraId="01DAE14A"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B83EF4B"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AMR</w:t>
            </w:r>
          </w:p>
        </w:tc>
        <w:tc>
          <w:tcPr>
            <w:tcW w:w="840" w:type="dxa"/>
            <w:tcBorders>
              <w:top w:val="nil"/>
              <w:left w:val="single" w:sz="4" w:space="0" w:color="auto"/>
              <w:bottom w:val="nil"/>
              <w:right w:val="nil"/>
            </w:tcBorders>
            <w:shd w:val="clear" w:color="auto" w:fill="auto"/>
            <w:noWrap/>
            <w:vAlign w:val="center"/>
            <w:hideMark/>
          </w:tcPr>
          <w:p w14:paraId="3F8003F0"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15,319</w:t>
            </w:r>
          </w:p>
        </w:tc>
        <w:tc>
          <w:tcPr>
            <w:tcW w:w="827" w:type="dxa"/>
            <w:tcBorders>
              <w:top w:val="nil"/>
              <w:left w:val="single" w:sz="4" w:space="0" w:color="auto"/>
              <w:bottom w:val="nil"/>
              <w:right w:val="nil"/>
            </w:tcBorders>
            <w:shd w:val="clear" w:color="auto" w:fill="auto"/>
            <w:noWrap/>
            <w:vAlign w:val="bottom"/>
            <w:hideMark/>
          </w:tcPr>
          <w:p w14:paraId="2D23D30C"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34.5</w:t>
            </w:r>
          </w:p>
        </w:tc>
        <w:tc>
          <w:tcPr>
            <w:tcW w:w="679" w:type="dxa"/>
            <w:tcBorders>
              <w:top w:val="nil"/>
              <w:left w:val="single" w:sz="4" w:space="0" w:color="auto"/>
              <w:bottom w:val="nil"/>
              <w:right w:val="nil"/>
            </w:tcBorders>
            <w:shd w:val="clear" w:color="auto" w:fill="auto"/>
            <w:noWrap/>
            <w:vAlign w:val="bottom"/>
            <w:hideMark/>
          </w:tcPr>
          <w:p w14:paraId="52644A6D" w14:textId="5EBE81BF"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0.67</w:t>
            </w:r>
          </w:p>
        </w:tc>
        <w:tc>
          <w:tcPr>
            <w:tcW w:w="709" w:type="dxa"/>
            <w:tcBorders>
              <w:top w:val="nil"/>
              <w:left w:val="nil"/>
              <w:bottom w:val="nil"/>
              <w:right w:val="nil"/>
            </w:tcBorders>
            <w:shd w:val="clear" w:color="auto" w:fill="auto"/>
            <w:noWrap/>
            <w:vAlign w:val="bottom"/>
            <w:hideMark/>
          </w:tcPr>
          <w:p w14:paraId="6C8813FB" w14:textId="6DDAA7F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0.13</w:t>
            </w:r>
          </w:p>
        </w:tc>
        <w:tc>
          <w:tcPr>
            <w:tcW w:w="572" w:type="dxa"/>
            <w:tcBorders>
              <w:top w:val="nil"/>
              <w:left w:val="nil"/>
              <w:bottom w:val="nil"/>
              <w:right w:val="nil"/>
            </w:tcBorders>
            <w:shd w:val="clear" w:color="auto" w:fill="auto"/>
            <w:noWrap/>
            <w:vAlign w:val="bottom"/>
            <w:hideMark/>
          </w:tcPr>
          <w:p w14:paraId="3B7382F6" w14:textId="2ECBC3C0"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2.79</w:t>
            </w:r>
          </w:p>
        </w:tc>
        <w:tc>
          <w:tcPr>
            <w:tcW w:w="540" w:type="dxa"/>
            <w:tcBorders>
              <w:top w:val="nil"/>
              <w:left w:val="nil"/>
              <w:bottom w:val="nil"/>
              <w:right w:val="nil"/>
            </w:tcBorders>
            <w:shd w:val="clear" w:color="auto" w:fill="auto"/>
            <w:noWrap/>
            <w:vAlign w:val="bottom"/>
            <w:hideMark/>
          </w:tcPr>
          <w:p w14:paraId="5973FE18" w14:textId="4CFDFC7F"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4.26</w:t>
            </w:r>
          </w:p>
        </w:tc>
        <w:tc>
          <w:tcPr>
            <w:tcW w:w="627" w:type="dxa"/>
            <w:tcBorders>
              <w:top w:val="nil"/>
              <w:left w:val="nil"/>
              <w:bottom w:val="nil"/>
              <w:right w:val="nil"/>
            </w:tcBorders>
            <w:shd w:val="clear" w:color="auto" w:fill="auto"/>
            <w:noWrap/>
            <w:vAlign w:val="bottom"/>
            <w:hideMark/>
          </w:tcPr>
          <w:p w14:paraId="51E7B9AE" w14:textId="2E94FF9C"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13.96</w:t>
            </w:r>
          </w:p>
        </w:tc>
        <w:tc>
          <w:tcPr>
            <w:tcW w:w="925" w:type="dxa"/>
            <w:tcBorders>
              <w:top w:val="nil"/>
              <w:left w:val="single" w:sz="4" w:space="0" w:color="auto"/>
              <w:bottom w:val="nil"/>
              <w:right w:val="single" w:sz="4" w:space="0" w:color="auto"/>
            </w:tcBorders>
            <w:shd w:val="clear" w:color="auto" w:fill="auto"/>
            <w:noWrap/>
            <w:vAlign w:val="bottom"/>
            <w:hideMark/>
          </w:tcPr>
          <w:p w14:paraId="41CB35AE" w14:textId="2B3EC69C"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21.8</w:t>
            </w:r>
          </w:p>
        </w:tc>
        <w:tc>
          <w:tcPr>
            <w:tcW w:w="925" w:type="dxa"/>
            <w:tcBorders>
              <w:top w:val="nil"/>
              <w:left w:val="single" w:sz="4" w:space="0" w:color="auto"/>
              <w:bottom w:val="nil"/>
              <w:right w:val="single" w:sz="4" w:space="0" w:color="auto"/>
            </w:tcBorders>
            <w:shd w:val="clear" w:color="auto" w:fill="auto"/>
            <w:noWrap/>
            <w:vAlign w:val="bottom"/>
            <w:hideMark/>
          </w:tcPr>
          <w:p w14:paraId="2BD73C83" w14:textId="5BF5D6F0"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ascii="Calibri" w:eastAsia="Times New Roman" w:hAnsi="Calibri" w:cs="Times New Roman"/>
                <w:color w:val="000000"/>
                <w:sz w:val="18"/>
                <w:szCs w:val="18"/>
                <w:lang w:eastAsia="en-GB"/>
              </w:rPr>
              <w:t>63</w:t>
            </w:r>
          </w:p>
        </w:tc>
      </w:tr>
      <w:tr w:rsidR="003B76EB" w:rsidRPr="007C740F" w14:paraId="26B4546E" w14:textId="77777777" w:rsidTr="003B76EB">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4501814A"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WPR</w:t>
            </w:r>
          </w:p>
        </w:tc>
        <w:tc>
          <w:tcPr>
            <w:tcW w:w="840" w:type="dxa"/>
            <w:tcBorders>
              <w:top w:val="nil"/>
              <w:left w:val="single" w:sz="4" w:space="0" w:color="auto"/>
              <w:bottom w:val="nil"/>
              <w:right w:val="nil"/>
            </w:tcBorders>
            <w:shd w:val="clear" w:color="auto" w:fill="auto"/>
            <w:noWrap/>
            <w:vAlign w:val="center"/>
            <w:hideMark/>
          </w:tcPr>
          <w:p w14:paraId="65C9D092"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24,368</w:t>
            </w:r>
          </w:p>
        </w:tc>
        <w:tc>
          <w:tcPr>
            <w:tcW w:w="827" w:type="dxa"/>
            <w:tcBorders>
              <w:top w:val="nil"/>
              <w:left w:val="single" w:sz="4" w:space="0" w:color="auto"/>
              <w:bottom w:val="nil"/>
              <w:right w:val="nil"/>
            </w:tcBorders>
            <w:shd w:val="clear" w:color="auto" w:fill="auto"/>
            <w:noWrap/>
            <w:vAlign w:val="bottom"/>
            <w:hideMark/>
          </w:tcPr>
          <w:p w14:paraId="0A5355F9"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31.4</w:t>
            </w:r>
          </w:p>
        </w:tc>
        <w:tc>
          <w:tcPr>
            <w:tcW w:w="679" w:type="dxa"/>
            <w:tcBorders>
              <w:top w:val="nil"/>
              <w:left w:val="single" w:sz="4" w:space="0" w:color="auto"/>
              <w:bottom w:val="nil"/>
              <w:right w:val="nil"/>
            </w:tcBorders>
            <w:shd w:val="clear" w:color="auto" w:fill="auto"/>
            <w:noWrap/>
            <w:vAlign w:val="bottom"/>
            <w:hideMark/>
          </w:tcPr>
          <w:p w14:paraId="3A15D845" w14:textId="17B052C5"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1.26</w:t>
            </w:r>
          </w:p>
        </w:tc>
        <w:tc>
          <w:tcPr>
            <w:tcW w:w="709" w:type="dxa"/>
            <w:tcBorders>
              <w:top w:val="nil"/>
              <w:left w:val="nil"/>
              <w:bottom w:val="nil"/>
              <w:right w:val="nil"/>
            </w:tcBorders>
            <w:shd w:val="clear" w:color="auto" w:fill="auto"/>
            <w:noWrap/>
            <w:vAlign w:val="bottom"/>
            <w:hideMark/>
          </w:tcPr>
          <w:p w14:paraId="7316AC59" w14:textId="336DC7CE"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0.35</w:t>
            </w:r>
          </w:p>
        </w:tc>
        <w:tc>
          <w:tcPr>
            <w:tcW w:w="572" w:type="dxa"/>
            <w:tcBorders>
              <w:top w:val="nil"/>
              <w:left w:val="nil"/>
              <w:bottom w:val="nil"/>
              <w:right w:val="nil"/>
            </w:tcBorders>
            <w:shd w:val="clear" w:color="auto" w:fill="auto"/>
            <w:noWrap/>
            <w:vAlign w:val="bottom"/>
            <w:hideMark/>
          </w:tcPr>
          <w:p w14:paraId="47DED801" w14:textId="5E1E6DE3"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0.20</w:t>
            </w:r>
          </w:p>
        </w:tc>
        <w:tc>
          <w:tcPr>
            <w:tcW w:w="540" w:type="dxa"/>
            <w:tcBorders>
              <w:top w:val="nil"/>
              <w:left w:val="nil"/>
              <w:bottom w:val="nil"/>
              <w:right w:val="nil"/>
            </w:tcBorders>
            <w:shd w:val="clear" w:color="auto" w:fill="auto"/>
            <w:noWrap/>
            <w:vAlign w:val="bottom"/>
            <w:hideMark/>
          </w:tcPr>
          <w:p w14:paraId="4B117A00" w14:textId="232CF1F2"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4.14</w:t>
            </w:r>
          </w:p>
        </w:tc>
        <w:tc>
          <w:tcPr>
            <w:tcW w:w="627" w:type="dxa"/>
            <w:tcBorders>
              <w:top w:val="nil"/>
              <w:left w:val="nil"/>
              <w:bottom w:val="nil"/>
              <w:right w:val="nil"/>
            </w:tcBorders>
            <w:shd w:val="clear" w:color="auto" w:fill="auto"/>
            <w:noWrap/>
            <w:vAlign w:val="bottom"/>
            <w:hideMark/>
          </w:tcPr>
          <w:p w14:paraId="78823175" w14:textId="5D04D3A5"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13.32</w:t>
            </w:r>
          </w:p>
        </w:tc>
        <w:tc>
          <w:tcPr>
            <w:tcW w:w="925" w:type="dxa"/>
            <w:tcBorders>
              <w:top w:val="nil"/>
              <w:left w:val="single" w:sz="4" w:space="0" w:color="auto"/>
              <w:bottom w:val="nil"/>
              <w:right w:val="single" w:sz="4" w:space="0" w:color="auto"/>
            </w:tcBorders>
            <w:shd w:val="clear" w:color="auto" w:fill="auto"/>
            <w:noWrap/>
            <w:vAlign w:val="bottom"/>
            <w:hideMark/>
          </w:tcPr>
          <w:p w14:paraId="35B03F14" w14:textId="1192B810"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19.3</w:t>
            </w:r>
          </w:p>
        </w:tc>
        <w:tc>
          <w:tcPr>
            <w:tcW w:w="925" w:type="dxa"/>
            <w:tcBorders>
              <w:top w:val="nil"/>
              <w:left w:val="single" w:sz="4" w:space="0" w:color="auto"/>
              <w:bottom w:val="nil"/>
              <w:right w:val="single" w:sz="4" w:space="0" w:color="auto"/>
            </w:tcBorders>
            <w:shd w:val="clear" w:color="auto" w:fill="auto"/>
            <w:noWrap/>
            <w:vAlign w:val="bottom"/>
            <w:hideMark/>
          </w:tcPr>
          <w:p w14:paraId="4570B98F" w14:textId="15E0F833"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61</w:t>
            </w:r>
          </w:p>
        </w:tc>
      </w:tr>
      <w:tr w:rsidR="003B76EB" w:rsidRPr="007C740F" w14:paraId="1D93363B" w14:textId="77777777" w:rsidTr="003B76EB">
        <w:trPr>
          <w:trHeight w:val="284"/>
          <w:jc w:val="center"/>
        </w:trPr>
        <w:tc>
          <w:tcPr>
            <w:tcW w:w="103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F17CD6F"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World</w:t>
            </w:r>
          </w:p>
        </w:tc>
        <w:tc>
          <w:tcPr>
            <w:tcW w:w="840" w:type="dxa"/>
            <w:tcBorders>
              <w:top w:val="single" w:sz="4" w:space="0" w:color="auto"/>
              <w:left w:val="single" w:sz="4" w:space="0" w:color="auto"/>
              <w:bottom w:val="double" w:sz="6" w:space="0" w:color="auto"/>
              <w:right w:val="nil"/>
            </w:tcBorders>
            <w:shd w:val="clear" w:color="auto" w:fill="auto"/>
            <w:noWrap/>
            <w:vAlign w:val="center"/>
            <w:hideMark/>
          </w:tcPr>
          <w:p w14:paraId="7F31147B"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139,840</w:t>
            </w:r>
          </w:p>
        </w:tc>
        <w:tc>
          <w:tcPr>
            <w:tcW w:w="827" w:type="dxa"/>
            <w:tcBorders>
              <w:top w:val="single" w:sz="4" w:space="0" w:color="auto"/>
              <w:left w:val="single" w:sz="4" w:space="0" w:color="auto"/>
              <w:bottom w:val="double" w:sz="6" w:space="0" w:color="auto"/>
              <w:right w:val="nil"/>
            </w:tcBorders>
            <w:shd w:val="clear" w:color="auto" w:fill="auto"/>
            <w:noWrap/>
            <w:vAlign w:val="bottom"/>
            <w:hideMark/>
          </w:tcPr>
          <w:p w14:paraId="18EBA7F3"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40.0</w:t>
            </w:r>
          </w:p>
        </w:tc>
        <w:tc>
          <w:tcPr>
            <w:tcW w:w="679" w:type="dxa"/>
            <w:tcBorders>
              <w:top w:val="single" w:sz="4" w:space="0" w:color="auto"/>
              <w:left w:val="single" w:sz="4" w:space="0" w:color="auto"/>
              <w:bottom w:val="double" w:sz="6" w:space="0" w:color="auto"/>
              <w:right w:val="nil"/>
            </w:tcBorders>
            <w:shd w:val="clear" w:color="auto" w:fill="auto"/>
            <w:noWrap/>
            <w:vAlign w:val="bottom"/>
            <w:hideMark/>
          </w:tcPr>
          <w:p w14:paraId="2396D318" w14:textId="46B3E013"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1.37</w:t>
            </w:r>
          </w:p>
        </w:tc>
        <w:tc>
          <w:tcPr>
            <w:tcW w:w="709" w:type="dxa"/>
            <w:tcBorders>
              <w:top w:val="single" w:sz="4" w:space="0" w:color="auto"/>
              <w:left w:val="nil"/>
              <w:bottom w:val="double" w:sz="6" w:space="0" w:color="auto"/>
              <w:right w:val="nil"/>
            </w:tcBorders>
            <w:shd w:val="clear" w:color="auto" w:fill="auto"/>
            <w:noWrap/>
            <w:vAlign w:val="bottom"/>
            <w:hideMark/>
          </w:tcPr>
          <w:p w14:paraId="6C2D13F0" w14:textId="32B8E225"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0.78</w:t>
            </w:r>
          </w:p>
        </w:tc>
        <w:tc>
          <w:tcPr>
            <w:tcW w:w="572" w:type="dxa"/>
            <w:tcBorders>
              <w:top w:val="single" w:sz="4" w:space="0" w:color="auto"/>
              <w:left w:val="nil"/>
              <w:bottom w:val="double" w:sz="6" w:space="0" w:color="auto"/>
              <w:right w:val="nil"/>
            </w:tcBorders>
            <w:shd w:val="clear" w:color="auto" w:fill="auto"/>
            <w:noWrap/>
            <w:vAlign w:val="bottom"/>
            <w:hideMark/>
          </w:tcPr>
          <w:p w14:paraId="1862BE53" w14:textId="1CB933F8"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2.11</w:t>
            </w:r>
          </w:p>
        </w:tc>
        <w:tc>
          <w:tcPr>
            <w:tcW w:w="540" w:type="dxa"/>
            <w:tcBorders>
              <w:top w:val="single" w:sz="4" w:space="0" w:color="auto"/>
              <w:left w:val="nil"/>
              <w:bottom w:val="double" w:sz="6" w:space="0" w:color="auto"/>
              <w:right w:val="nil"/>
            </w:tcBorders>
            <w:shd w:val="clear" w:color="auto" w:fill="auto"/>
            <w:noWrap/>
            <w:vAlign w:val="bottom"/>
            <w:hideMark/>
          </w:tcPr>
          <w:p w14:paraId="1F2C2B6E" w14:textId="37F008C8"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4.34</w:t>
            </w:r>
          </w:p>
        </w:tc>
        <w:tc>
          <w:tcPr>
            <w:tcW w:w="627" w:type="dxa"/>
            <w:tcBorders>
              <w:top w:val="single" w:sz="4" w:space="0" w:color="auto"/>
              <w:left w:val="nil"/>
              <w:bottom w:val="double" w:sz="6" w:space="0" w:color="auto"/>
              <w:right w:val="nil"/>
            </w:tcBorders>
            <w:shd w:val="clear" w:color="auto" w:fill="auto"/>
            <w:noWrap/>
            <w:vAlign w:val="bottom"/>
            <w:hideMark/>
          </w:tcPr>
          <w:p w14:paraId="7C8AD40E" w14:textId="6C893F34"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13.47</w:t>
            </w:r>
          </w:p>
        </w:tc>
        <w:tc>
          <w:tcPr>
            <w:tcW w:w="92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74F606A8" w14:textId="149B19BE"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22.1</w:t>
            </w:r>
          </w:p>
        </w:tc>
        <w:tc>
          <w:tcPr>
            <w:tcW w:w="92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D6A58B0" w14:textId="6F341680"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55</w:t>
            </w:r>
          </w:p>
        </w:tc>
      </w:tr>
      <w:tr w:rsidR="003B76EB" w:rsidRPr="007C740F" w14:paraId="771D1FDB" w14:textId="77777777" w:rsidTr="003B76EB">
        <w:trPr>
          <w:trHeight w:val="284"/>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33942DA2" w14:textId="77777777" w:rsidR="003B76EB" w:rsidRPr="007C740F" w:rsidRDefault="003B76EB" w:rsidP="00045C89">
            <w:pPr>
              <w:spacing w:after="0" w:line="240" w:lineRule="auto"/>
              <w:rPr>
                <w:rFonts w:eastAsia="Times New Roman" w:cs="Times New Roman"/>
                <w:color w:val="000000"/>
                <w:sz w:val="18"/>
                <w:szCs w:val="18"/>
                <w:lang w:eastAsia="en-GB"/>
              </w:rPr>
            </w:pPr>
            <w:r w:rsidRPr="007C740F">
              <w:rPr>
                <w:rFonts w:eastAsia="Times New Roman" w:cs="Times New Roman"/>
                <w:color w:val="000000"/>
                <w:sz w:val="18"/>
                <w:szCs w:val="18"/>
                <w:lang w:eastAsia="en-GB"/>
              </w:rPr>
              <w:t xml:space="preserve"> W Europe</w:t>
            </w:r>
          </w:p>
        </w:tc>
        <w:tc>
          <w:tcPr>
            <w:tcW w:w="840" w:type="dxa"/>
            <w:tcBorders>
              <w:top w:val="nil"/>
              <w:left w:val="single" w:sz="4" w:space="0" w:color="auto"/>
              <w:bottom w:val="single" w:sz="4" w:space="0" w:color="auto"/>
              <w:right w:val="nil"/>
            </w:tcBorders>
            <w:shd w:val="clear" w:color="auto" w:fill="auto"/>
            <w:noWrap/>
            <w:vAlign w:val="center"/>
            <w:hideMark/>
          </w:tcPr>
          <w:p w14:paraId="56A75C2B" w14:textId="77777777" w:rsidR="003B76EB" w:rsidRPr="007C740F" w:rsidRDefault="003B76EB" w:rsidP="00045C89">
            <w:pPr>
              <w:spacing w:after="0" w:line="240" w:lineRule="auto"/>
              <w:jc w:val="center"/>
              <w:rPr>
                <w:rFonts w:eastAsia="Times New Roman" w:cs="Times New Roman"/>
                <w:color w:val="000000"/>
                <w:sz w:val="18"/>
                <w:szCs w:val="18"/>
                <w:lang w:eastAsia="en-GB"/>
              </w:rPr>
            </w:pPr>
            <w:r w:rsidRPr="007C740F">
              <w:rPr>
                <w:rFonts w:eastAsia="Times New Roman" w:cs="Times New Roman"/>
                <w:color w:val="000000"/>
                <w:sz w:val="18"/>
                <w:szCs w:val="18"/>
                <w:lang w:eastAsia="en-GB"/>
              </w:rPr>
              <w:t>4,424</w:t>
            </w:r>
          </w:p>
        </w:tc>
        <w:tc>
          <w:tcPr>
            <w:tcW w:w="827" w:type="dxa"/>
            <w:tcBorders>
              <w:top w:val="nil"/>
              <w:left w:val="single" w:sz="4" w:space="0" w:color="auto"/>
              <w:bottom w:val="single" w:sz="4" w:space="0" w:color="auto"/>
              <w:right w:val="nil"/>
            </w:tcBorders>
            <w:shd w:val="clear" w:color="auto" w:fill="auto"/>
            <w:noWrap/>
            <w:vAlign w:val="bottom"/>
            <w:hideMark/>
          </w:tcPr>
          <w:p w14:paraId="6D87BFED" w14:textId="77777777"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34.9</w:t>
            </w:r>
          </w:p>
        </w:tc>
        <w:tc>
          <w:tcPr>
            <w:tcW w:w="679" w:type="dxa"/>
            <w:tcBorders>
              <w:top w:val="nil"/>
              <w:left w:val="single" w:sz="4" w:space="0" w:color="auto"/>
              <w:bottom w:val="single" w:sz="4" w:space="0" w:color="auto"/>
              <w:right w:val="nil"/>
            </w:tcBorders>
            <w:shd w:val="clear" w:color="auto" w:fill="auto"/>
            <w:noWrap/>
            <w:vAlign w:val="bottom"/>
            <w:hideMark/>
          </w:tcPr>
          <w:p w14:paraId="0BDACCEE" w14:textId="6A0F2FBA"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0.11</w:t>
            </w:r>
          </w:p>
        </w:tc>
        <w:tc>
          <w:tcPr>
            <w:tcW w:w="709" w:type="dxa"/>
            <w:tcBorders>
              <w:top w:val="nil"/>
              <w:left w:val="nil"/>
              <w:bottom w:val="single" w:sz="4" w:space="0" w:color="auto"/>
              <w:right w:val="nil"/>
            </w:tcBorders>
            <w:shd w:val="clear" w:color="auto" w:fill="auto"/>
            <w:noWrap/>
            <w:vAlign w:val="bottom"/>
            <w:hideMark/>
          </w:tcPr>
          <w:p w14:paraId="63F4743E" w14:textId="120DBD89"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0.12</w:t>
            </w:r>
          </w:p>
        </w:tc>
        <w:tc>
          <w:tcPr>
            <w:tcW w:w="572" w:type="dxa"/>
            <w:tcBorders>
              <w:top w:val="nil"/>
              <w:left w:val="nil"/>
              <w:bottom w:val="single" w:sz="4" w:space="0" w:color="auto"/>
              <w:right w:val="nil"/>
            </w:tcBorders>
            <w:shd w:val="clear" w:color="auto" w:fill="auto"/>
            <w:noWrap/>
            <w:vAlign w:val="bottom"/>
            <w:hideMark/>
          </w:tcPr>
          <w:p w14:paraId="341C47B0" w14:textId="37FE04EA"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2.87</w:t>
            </w:r>
          </w:p>
        </w:tc>
        <w:tc>
          <w:tcPr>
            <w:tcW w:w="540" w:type="dxa"/>
            <w:tcBorders>
              <w:top w:val="nil"/>
              <w:left w:val="nil"/>
              <w:bottom w:val="single" w:sz="4" w:space="0" w:color="auto"/>
              <w:right w:val="nil"/>
            </w:tcBorders>
            <w:shd w:val="clear" w:color="auto" w:fill="auto"/>
            <w:noWrap/>
            <w:vAlign w:val="bottom"/>
            <w:hideMark/>
          </w:tcPr>
          <w:p w14:paraId="3BF70A9F" w14:textId="13352254"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4.66</w:t>
            </w:r>
          </w:p>
        </w:tc>
        <w:tc>
          <w:tcPr>
            <w:tcW w:w="627" w:type="dxa"/>
            <w:tcBorders>
              <w:top w:val="nil"/>
              <w:left w:val="nil"/>
              <w:bottom w:val="single" w:sz="4" w:space="0" w:color="auto"/>
              <w:right w:val="nil"/>
            </w:tcBorders>
            <w:shd w:val="clear" w:color="auto" w:fill="auto"/>
            <w:noWrap/>
            <w:vAlign w:val="bottom"/>
            <w:hideMark/>
          </w:tcPr>
          <w:p w14:paraId="0F5F4DE1" w14:textId="600484B6"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14.30</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563B7B97" w14:textId="26C53CFB"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22.1</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43013B4E" w14:textId="4B82D6DF" w:rsidR="003B76EB" w:rsidRPr="007C740F" w:rsidRDefault="003B76EB" w:rsidP="00045C89">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64</w:t>
            </w:r>
          </w:p>
        </w:tc>
      </w:tr>
    </w:tbl>
    <w:p w14:paraId="29F37DB4" w14:textId="77777777" w:rsidR="001529F8" w:rsidRPr="007C740F" w:rsidRDefault="001529F8" w:rsidP="001529F8">
      <w:pPr>
        <w:pStyle w:val="Heading1"/>
      </w:pPr>
      <w:bookmarkStart w:id="31" w:name="_Toc193659682"/>
      <w:r w:rsidRPr="007C740F">
        <w:t>Discussion</w:t>
      </w:r>
      <w:bookmarkEnd w:id="31"/>
    </w:p>
    <w:p w14:paraId="7D2A2440" w14:textId="77777777" w:rsidR="00CF2CC3" w:rsidRPr="007C740F" w:rsidRDefault="00CF2CC3" w:rsidP="00CF2CC3">
      <w:pPr>
        <w:pStyle w:val="Heading2"/>
      </w:pPr>
      <w:bookmarkStart w:id="32" w:name="_Toc193659683"/>
      <w:r w:rsidRPr="007C740F">
        <w:t>Reliability of the estimates</w:t>
      </w:r>
      <w:bookmarkEnd w:id="32"/>
    </w:p>
    <w:p w14:paraId="567377F5" w14:textId="2C220170" w:rsidR="003B76EB" w:rsidRPr="007C740F" w:rsidRDefault="004D2090" w:rsidP="00F555B6">
      <w:pPr>
        <w:pStyle w:val="NoSpacing"/>
        <w:jc w:val="both"/>
      </w:pPr>
      <w:r w:rsidRPr="007C740F">
        <w:t>Baseline birth prevalence</w:t>
      </w:r>
      <w:r w:rsidR="003D684E" w:rsidRPr="007C740F">
        <w:t xml:space="preserve"> is the most important estimate because it </w:t>
      </w:r>
      <w:r w:rsidR="00C512B5" w:rsidRPr="007C740F">
        <w:t>define</w:t>
      </w:r>
      <w:r w:rsidR="002D51CA" w:rsidRPr="007C740F">
        <w:t>s</w:t>
      </w:r>
      <w:r w:rsidR="00C512B5" w:rsidRPr="007C740F">
        <w:t xml:space="preserve"> the total envelope </w:t>
      </w:r>
      <w:r w:rsidR="00E41E37" w:rsidRPr="007C740F">
        <w:t xml:space="preserve">for each disorder group. </w:t>
      </w:r>
      <w:r w:rsidR="00DD03FD" w:rsidRPr="007C740F">
        <w:t>Table 1</w:t>
      </w:r>
      <w:r w:rsidR="008B0B70" w:rsidRPr="007C740F">
        <w:t>2</w:t>
      </w:r>
      <w:r w:rsidR="00DD03FD" w:rsidRPr="007C740F">
        <w:t xml:space="preserve"> shows </w:t>
      </w:r>
      <w:r w:rsidR="006D231A" w:rsidRPr="007C740F">
        <w:t>factors affecting the reliability of the</w:t>
      </w:r>
      <w:r w:rsidR="003D684E" w:rsidRPr="007C740F">
        <w:t xml:space="preserve"> MGDb </w:t>
      </w:r>
      <w:r w:rsidR="006D231A" w:rsidRPr="007C740F">
        <w:t>estimates. The</w:t>
      </w:r>
      <w:r w:rsidR="00A856AF" w:rsidRPr="007C740F">
        <w:t xml:space="preserve">re is good reason to consider that the </w:t>
      </w:r>
      <w:r w:rsidR="006D231A" w:rsidRPr="007C740F">
        <w:t>b</w:t>
      </w:r>
      <w:r w:rsidR="003B76EB" w:rsidRPr="007C740F">
        <w:t xml:space="preserve">aseline birth prevalences of chromosomal and consanguinity-associated disorders are reliable; some under-estimation is likely for congenital malformations and rare single gene disorders; some over-estimation is likely for haemoglobin disorders because carrier prevalence falls as malaria </w:t>
      </w:r>
      <w:r w:rsidR="00A856AF" w:rsidRPr="007C740F">
        <w:t xml:space="preserve">comes under </w:t>
      </w:r>
      <w:r w:rsidR="003B76EB" w:rsidRPr="007C740F">
        <w:t>control. Estimates for</w:t>
      </w:r>
      <w:r w:rsidR="006D231A" w:rsidRPr="007C740F">
        <w:t xml:space="preserve"> the two genetic risk factors are </w:t>
      </w:r>
      <w:r w:rsidR="003D684E" w:rsidRPr="007C740F">
        <w:t>very</w:t>
      </w:r>
      <w:r w:rsidR="006D231A" w:rsidRPr="007C740F">
        <w:t xml:space="preserve"> approximate</w:t>
      </w:r>
      <w:r w:rsidR="003D684E" w:rsidRPr="007C740F">
        <w:t>.</w:t>
      </w:r>
    </w:p>
    <w:p w14:paraId="1050FF9D" w14:textId="59A043E3" w:rsidR="0092327C" w:rsidRPr="007C740F" w:rsidRDefault="0092327C" w:rsidP="0092327C">
      <w:pPr>
        <w:pStyle w:val="Tableheading"/>
      </w:pPr>
      <w:r w:rsidRPr="007C740F">
        <w:lastRenderedPageBreak/>
        <w:t xml:space="preserve">Table </w:t>
      </w:r>
      <w:r w:rsidR="003223C2" w:rsidRPr="007C740F">
        <w:t>1</w:t>
      </w:r>
      <w:r w:rsidR="008B0B70" w:rsidRPr="007C740F">
        <w:t>2</w:t>
      </w:r>
      <w:r w:rsidRPr="007C740F">
        <w:t xml:space="preserve">. </w:t>
      </w:r>
      <w:r w:rsidR="003D684E" w:rsidRPr="007C740F">
        <w:t>Factors affecting the</w:t>
      </w:r>
      <w:r w:rsidRPr="007C740F">
        <w:t xml:space="preserve"> reliability of </w:t>
      </w:r>
      <w:r w:rsidR="00871319" w:rsidRPr="007C740F">
        <w:t>MGDb</w:t>
      </w:r>
      <w:r w:rsidRPr="007C740F">
        <w:t xml:space="preserve"> </w:t>
      </w:r>
      <w:r w:rsidR="003D684E" w:rsidRPr="007C740F">
        <w:t xml:space="preserve">estimates of </w:t>
      </w:r>
      <w:r w:rsidRPr="007C740F">
        <w:t>baseline birth prevalence</w:t>
      </w:r>
      <w:r w:rsidR="00A26B75" w:rsidRPr="007C740F">
        <w:t xml:space="preserve"> </w:t>
      </w:r>
      <w:r w:rsidRPr="007C740F">
        <w:t>of</w:t>
      </w:r>
      <w:r w:rsidR="00871319" w:rsidRPr="007C740F">
        <w:t xml:space="preserve"> endogenous</w:t>
      </w:r>
      <w:r w:rsidRPr="007C740F">
        <w:t xml:space="preserve"> congenital disorders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479"/>
        <w:gridCol w:w="2575"/>
        <w:gridCol w:w="1250"/>
        <w:gridCol w:w="2410"/>
      </w:tblGrid>
      <w:tr w:rsidR="0092327C" w:rsidRPr="007C740F" w14:paraId="08A98747" w14:textId="77777777" w:rsidTr="00B012D1">
        <w:trPr>
          <w:trHeight w:val="284"/>
          <w:jc w:val="center"/>
        </w:trPr>
        <w:tc>
          <w:tcPr>
            <w:tcW w:w="1629" w:type="dxa"/>
            <w:shd w:val="clear" w:color="auto" w:fill="auto"/>
            <w:vAlign w:val="center"/>
            <w:hideMark/>
          </w:tcPr>
          <w:p w14:paraId="0E6AD592" w14:textId="77777777" w:rsidR="0092327C" w:rsidRPr="007C740F" w:rsidRDefault="0092327C" w:rsidP="008060F9">
            <w:pPr>
              <w:keepNext/>
              <w:spacing w:after="0" w:line="240" w:lineRule="auto"/>
              <w:jc w:val="center"/>
              <w:rPr>
                <w:rFonts w:ascii="Calibri" w:eastAsia="Times New Roman" w:hAnsi="Calibri" w:cs="Times New Roman"/>
                <w:color w:val="000000"/>
                <w:lang w:eastAsia="en-GB"/>
              </w:rPr>
            </w:pPr>
            <w:r w:rsidRPr="007C740F">
              <w:rPr>
                <w:rFonts w:ascii="Calibri" w:eastAsia="Times New Roman" w:hAnsi="Calibri" w:cs="Times New Roman"/>
                <w:color w:val="000000"/>
                <w:lang w:eastAsia="en-GB"/>
              </w:rPr>
              <w:t>Disorder group</w:t>
            </w:r>
          </w:p>
        </w:tc>
        <w:tc>
          <w:tcPr>
            <w:tcW w:w="2479" w:type="dxa"/>
            <w:shd w:val="clear" w:color="auto" w:fill="auto"/>
            <w:vAlign w:val="center"/>
            <w:hideMark/>
          </w:tcPr>
          <w:p w14:paraId="339009F9" w14:textId="77777777" w:rsidR="0092327C" w:rsidRPr="007C740F" w:rsidRDefault="0092327C" w:rsidP="008060F9">
            <w:pPr>
              <w:keepNext/>
              <w:spacing w:after="0" w:line="240" w:lineRule="auto"/>
              <w:jc w:val="center"/>
              <w:rPr>
                <w:rFonts w:ascii="Calibri" w:eastAsia="Times New Roman" w:hAnsi="Calibri" w:cs="Times New Roman"/>
                <w:color w:val="000000"/>
                <w:lang w:eastAsia="en-GB"/>
              </w:rPr>
            </w:pPr>
            <w:r w:rsidRPr="007C740F">
              <w:rPr>
                <w:rFonts w:ascii="Calibri" w:eastAsia="Times New Roman" w:hAnsi="Calibri" w:cs="Times New Roman"/>
                <w:color w:val="000000"/>
                <w:lang w:eastAsia="en-GB"/>
              </w:rPr>
              <w:t>Based on</w:t>
            </w:r>
          </w:p>
        </w:tc>
        <w:tc>
          <w:tcPr>
            <w:tcW w:w="2575" w:type="dxa"/>
            <w:shd w:val="clear" w:color="auto" w:fill="auto"/>
            <w:vAlign w:val="center"/>
            <w:hideMark/>
          </w:tcPr>
          <w:p w14:paraId="37DB5752" w14:textId="77777777" w:rsidR="0092327C" w:rsidRPr="007C740F" w:rsidRDefault="0092327C" w:rsidP="008060F9">
            <w:pPr>
              <w:keepNext/>
              <w:spacing w:after="0" w:line="240" w:lineRule="auto"/>
              <w:jc w:val="center"/>
              <w:rPr>
                <w:rFonts w:ascii="Calibri" w:eastAsia="Times New Roman" w:hAnsi="Calibri" w:cs="Times New Roman"/>
                <w:color w:val="000000"/>
                <w:lang w:eastAsia="en-GB"/>
              </w:rPr>
            </w:pPr>
            <w:r w:rsidRPr="007C740F">
              <w:rPr>
                <w:rFonts w:ascii="Calibri" w:eastAsia="Times New Roman" w:hAnsi="Calibri" w:cs="Times New Roman"/>
                <w:color w:val="000000"/>
                <w:lang w:eastAsia="en-GB"/>
              </w:rPr>
              <w:t>Details</w:t>
            </w:r>
          </w:p>
        </w:tc>
        <w:tc>
          <w:tcPr>
            <w:tcW w:w="1250" w:type="dxa"/>
            <w:shd w:val="clear" w:color="auto" w:fill="auto"/>
            <w:vAlign w:val="center"/>
            <w:hideMark/>
          </w:tcPr>
          <w:p w14:paraId="74B1B1AA" w14:textId="77777777" w:rsidR="0092327C" w:rsidRPr="007C740F" w:rsidRDefault="0092327C" w:rsidP="008060F9">
            <w:pPr>
              <w:keepNext/>
              <w:spacing w:after="0" w:line="240" w:lineRule="auto"/>
              <w:jc w:val="center"/>
              <w:rPr>
                <w:rFonts w:ascii="Calibri" w:eastAsia="Times New Roman" w:hAnsi="Calibri" w:cs="Times New Roman"/>
                <w:color w:val="000000"/>
                <w:lang w:eastAsia="en-GB"/>
              </w:rPr>
            </w:pPr>
            <w:r w:rsidRPr="007C740F">
              <w:rPr>
                <w:rFonts w:ascii="Calibri" w:eastAsia="Times New Roman" w:hAnsi="Calibri" w:cs="Times New Roman"/>
                <w:color w:val="000000"/>
                <w:lang w:eastAsia="en-GB"/>
              </w:rPr>
              <w:t>Reliability</w:t>
            </w:r>
          </w:p>
        </w:tc>
        <w:tc>
          <w:tcPr>
            <w:tcW w:w="2410" w:type="dxa"/>
            <w:shd w:val="clear" w:color="auto" w:fill="auto"/>
            <w:vAlign w:val="center"/>
            <w:hideMark/>
          </w:tcPr>
          <w:p w14:paraId="5FF9AE88" w14:textId="77777777" w:rsidR="0092327C" w:rsidRPr="007C740F" w:rsidRDefault="0092327C" w:rsidP="008060F9">
            <w:pPr>
              <w:keepNext/>
              <w:spacing w:after="0" w:line="240" w:lineRule="auto"/>
              <w:jc w:val="center"/>
              <w:rPr>
                <w:rFonts w:ascii="Calibri" w:eastAsia="Times New Roman" w:hAnsi="Calibri" w:cs="Times New Roman"/>
                <w:color w:val="000000"/>
                <w:lang w:eastAsia="en-GB"/>
              </w:rPr>
            </w:pPr>
            <w:r w:rsidRPr="007C740F">
              <w:rPr>
                <w:rFonts w:ascii="Calibri" w:eastAsia="Times New Roman" w:hAnsi="Calibri" w:cs="Times New Roman"/>
                <w:color w:val="000000"/>
                <w:lang w:eastAsia="en-GB"/>
              </w:rPr>
              <w:t>Comment</w:t>
            </w:r>
          </w:p>
        </w:tc>
      </w:tr>
      <w:tr w:rsidR="0092327C" w:rsidRPr="007C740F" w14:paraId="13F4D4AF" w14:textId="77777777" w:rsidTr="00B012D1">
        <w:trPr>
          <w:trHeight w:val="284"/>
          <w:jc w:val="center"/>
        </w:trPr>
        <w:tc>
          <w:tcPr>
            <w:tcW w:w="1629" w:type="dxa"/>
            <w:shd w:val="clear" w:color="auto" w:fill="auto"/>
            <w:vAlign w:val="center"/>
            <w:hideMark/>
          </w:tcPr>
          <w:p w14:paraId="6AB76989"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Chromosomal disorders</w:t>
            </w:r>
          </w:p>
        </w:tc>
        <w:tc>
          <w:tcPr>
            <w:tcW w:w="2479" w:type="dxa"/>
            <w:shd w:val="clear" w:color="auto" w:fill="auto"/>
            <w:vAlign w:val="center"/>
            <w:hideMark/>
          </w:tcPr>
          <w:p w14:paraId="19589632"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Maternal age relationship, observational data</w:t>
            </w:r>
          </w:p>
        </w:tc>
        <w:tc>
          <w:tcPr>
            <w:tcW w:w="2575" w:type="dxa"/>
            <w:shd w:val="clear" w:color="auto" w:fill="auto"/>
            <w:vAlign w:val="center"/>
            <w:hideMark/>
          </w:tcPr>
          <w:p w14:paraId="7686C571" w14:textId="536614A3" w:rsidR="0092327C" w:rsidRPr="007C740F" w:rsidRDefault="00D34994" w:rsidP="00CD6BCC">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Equation based on maternal age distribution</w:t>
            </w:r>
            <w:r w:rsidR="00CD6BCC" w:rsidRPr="007C740F">
              <w:rPr>
                <w:rFonts w:ascii="Calibri" w:eastAsia="Times New Roman" w:hAnsi="Calibri" w:cs="Times New Roman"/>
                <w:color w:val="000000"/>
                <w:sz w:val="18"/>
                <w:szCs w:val="18"/>
                <w:lang w:eastAsia="en-GB"/>
              </w:rPr>
              <w:t>:</w:t>
            </w:r>
            <w:r w:rsidRPr="007C740F">
              <w:rPr>
                <w:rFonts w:ascii="Calibri" w:eastAsia="Times New Roman" w:hAnsi="Calibri" w:cs="Times New Roman"/>
                <w:color w:val="000000"/>
                <w:sz w:val="18"/>
                <w:szCs w:val="18"/>
                <w:lang w:eastAsia="en-GB"/>
              </w:rPr>
              <w:t xml:space="preserve"> umbrella registries</w:t>
            </w:r>
          </w:p>
        </w:tc>
        <w:tc>
          <w:tcPr>
            <w:tcW w:w="1250" w:type="dxa"/>
            <w:shd w:val="clear" w:color="auto" w:fill="auto"/>
            <w:vAlign w:val="center"/>
            <w:hideMark/>
          </w:tcPr>
          <w:p w14:paraId="2B51729E"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High</w:t>
            </w:r>
          </w:p>
        </w:tc>
        <w:tc>
          <w:tcPr>
            <w:tcW w:w="2410" w:type="dxa"/>
            <w:shd w:val="clear" w:color="auto" w:fill="auto"/>
            <w:vAlign w:val="center"/>
            <w:hideMark/>
          </w:tcPr>
          <w:p w14:paraId="6EA6E6E5"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p>
        </w:tc>
      </w:tr>
      <w:tr w:rsidR="0092327C" w:rsidRPr="007C740F" w14:paraId="5F209305" w14:textId="77777777" w:rsidTr="00B012D1">
        <w:trPr>
          <w:trHeight w:val="284"/>
          <w:jc w:val="center"/>
        </w:trPr>
        <w:tc>
          <w:tcPr>
            <w:tcW w:w="1629" w:type="dxa"/>
            <w:shd w:val="clear" w:color="auto" w:fill="auto"/>
            <w:vAlign w:val="center"/>
            <w:hideMark/>
          </w:tcPr>
          <w:p w14:paraId="328FE9DC"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Congenital malformations</w:t>
            </w:r>
          </w:p>
        </w:tc>
        <w:tc>
          <w:tcPr>
            <w:tcW w:w="2479" w:type="dxa"/>
            <w:shd w:val="clear" w:color="auto" w:fill="auto"/>
            <w:vAlign w:val="center"/>
            <w:hideMark/>
          </w:tcPr>
          <w:p w14:paraId="560B5DCF"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EUROCAT congenital anomaly registries</w:t>
            </w:r>
          </w:p>
        </w:tc>
        <w:tc>
          <w:tcPr>
            <w:tcW w:w="2575" w:type="dxa"/>
            <w:shd w:val="clear" w:color="auto" w:fill="auto"/>
            <w:vAlign w:val="center"/>
            <w:hideMark/>
          </w:tcPr>
          <w:p w14:paraId="0D1AB395" w14:textId="5938B5B6" w:rsidR="0092327C" w:rsidRPr="007C740F" w:rsidRDefault="0092327C" w:rsidP="00CD6BCC">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xml:space="preserve">EUROCAT </w:t>
            </w:r>
            <w:r w:rsidR="00CD6BCC" w:rsidRPr="007C740F">
              <w:rPr>
                <w:rFonts w:ascii="Calibri" w:eastAsia="Times New Roman" w:hAnsi="Calibri" w:cs="Times New Roman"/>
                <w:color w:val="000000"/>
                <w:sz w:val="18"/>
                <w:szCs w:val="18"/>
                <w:lang w:eastAsia="en-GB"/>
              </w:rPr>
              <w:t xml:space="preserve">30 yr </w:t>
            </w:r>
            <w:r w:rsidRPr="007C740F">
              <w:rPr>
                <w:rFonts w:ascii="Calibri" w:eastAsia="Times New Roman" w:hAnsi="Calibri" w:cs="Times New Roman"/>
                <w:color w:val="000000"/>
                <w:sz w:val="18"/>
                <w:szCs w:val="18"/>
                <w:lang w:eastAsia="en-GB"/>
              </w:rPr>
              <w:t xml:space="preserve">averages </w:t>
            </w:r>
            <w:r w:rsidR="00CD6BCC" w:rsidRPr="007C740F">
              <w:rPr>
                <w:rFonts w:ascii="Calibri" w:eastAsia="Times New Roman" w:hAnsi="Calibri" w:cs="Times New Roman"/>
                <w:color w:val="000000"/>
                <w:sz w:val="18"/>
                <w:szCs w:val="18"/>
                <w:lang w:eastAsia="en-GB"/>
              </w:rPr>
              <w:t>(</w:t>
            </w:r>
            <w:r w:rsidRPr="007C740F">
              <w:rPr>
                <w:rFonts w:ascii="Calibri" w:eastAsia="Times New Roman" w:hAnsi="Calibri" w:cs="Times New Roman"/>
                <w:color w:val="000000"/>
                <w:sz w:val="18"/>
                <w:szCs w:val="18"/>
                <w:lang w:eastAsia="en-GB"/>
              </w:rPr>
              <w:t>2000-09</w:t>
            </w:r>
            <w:r w:rsidR="00CD6BCC" w:rsidRPr="007C740F">
              <w:rPr>
                <w:rFonts w:ascii="Calibri" w:eastAsia="Times New Roman" w:hAnsi="Calibri" w:cs="Times New Roman"/>
                <w:color w:val="000000"/>
                <w:sz w:val="18"/>
                <w:szCs w:val="18"/>
                <w:lang w:eastAsia="en-GB"/>
              </w:rPr>
              <w:t>) updated 2015.</w:t>
            </w:r>
          </w:p>
        </w:tc>
        <w:tc>
          <w:tcPr>
            <w:tcW w:w="1250" w:type="dxa"/>
            <w:shd w:val="clear" w:color="auto" w:fill="auto"/>
            <w:vAlign w:val="center"/>
            <w:hideMark/>
          </w:tcPr>
          <w:p w14:paraId="54680563" w14:textId="07F0DB3E" w:rsidR="0092327C" w:rsidRPr="007C740F" w:rsidRDefault="0092327C" w:rsidP="00DD03FD">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High</w:t>
            </w:r>
          </w:p>
        </w:tc>
        <w:tc>
          <w:tcPr>
            <w:tcW w:w="2410" w:type="dxa"/>
            <w:shd w:val="clear" w:color="auto" w:fill="auto"/>
            <w:vAlign w:val="center"/>
            <w:hideMark/>
          </w:tcPr>
          <w:p w14:paraId="35A391E3" w14:textId="77777777" w:rsidR="0092327C" w:rsidRPr="007C740F" w:rsidRDefault="008060F9"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Definitely s</w:t>
            </w:r>
            <w:r w:rsidR="0092327C" w:rsidRPr="007C740F">
              <w:rPr>
                <w:rFonts w:ascii="Calibri" w:eastAsia="Times New Roman" w:hAnsi="Calibri" w:cs="Times New Roman"/>
                <w:color w:val="000000"/>
                <w:sz w:val="18"/>
                <w:szCs w:val="18"/>
                <w:lang w:eastAsia="en-GB"/>
              </w:rPr>
              <w:t>ome under-estimation</w:t>
            </w:r>
          </w:p>
        </w:tc>
      </w:tr>
      <w:tr w:rsidR="0092327C" w:rsidRPr="007C740F" w14:paraId="74151296" w14:textId="77777777" w:rsidTr="00B012D1">
        <w:trPr>
          <w:trHeight w:val="284"/>
          <w:jc w:val="center"/>
        </w:trPr>
        <w:tc>
          <w:tcPr>
            <w:tcW w:w="1629" w:type="dxa"/>
            <w:shd w:val="clear" w:color="auto" w:fill="auto"/>
            <w:vAlign w:val="center"/>
            <w:hideMark/>
          </w:tcPr>
          <w:p w14:paraId="7FB513AF"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Rare single gene disorders</w:t>
            </w:r>
          </w:p>
        </w:tc>
        <w:tc>
          <w:tcPr>
            <w:tcW w:w="2479" w:type="dxa"/>
            <w:shd w:val="clear" w:color="auto" w:fill="auto"/>
            <w:vAlign w:val="center"/>
            <w:hideMark/>
          </w:tcPr>
          <w:p w14:paraId="60C11DDA"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British Columbia Health Surveillance Registry (Baird et al. 1988), other literature</w:t>
            </w:r>
          </w:p>
        </w:tc>
        <w:tc>
          <w:tcPr>
            <w:tcW w:w="2575" w:type="dxa"/>
            <w:shd w:val="clear" w:color="auto" w:fill="auto"/>
            <w:vAlign w:val="center"/>
            <w:hideMark/>
          </w:tcPr>
          <w:p w14:paraId="6BA32902" w14:textId="12B073E0"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Similar rate worldwide (</w:t>
            </w:r>
            <w:r w:rsidR="00D34994" w:rsidRPr="007C740F">
              <w:rPr>
                <w:rFonts w:ascii="Calibri" w:eastAsia="Times New Roman" w:hAnsi="Calibri" w:cs="Times New Roman"/>
                <w:color w:val="000000"/>
                <w:sz w:val="18"/>
                <w:szCs w:val="18"/>
                <w:lang w:eastAsia="en-GB"/>
              </w:rPr>
              <w:t xml:space="preserve">basic </w:t>
            </w:r>
            <w:r w:rsidRPr="007C740F">
              <w:rPr>
                <w:rFonts w:ascii="Calibri" w:eastAsia="Times New Roman" w:hAnsi="Calibri" w:cs="Times New Roman"/>
                <w:color w:val="000000"/>
                <w:sz w:val="18"/>
                <w:szCs w:val="18"/>
                <w:lang w:eastAsia="en-GB"/>
              </w:rPr>
              <w:t xml:space="preserve">population genetics: Bodmer &amp; Cavalli-Sforza 1976, etc) </w:t>
            </w:r>
          </w:p>
        </w:tc>
        <w:tc>
          <w:tcPr>
            <w:tcW w:w="1250" w:type="dxa"/>
            <w:shd w:val="clear" w:color="auto" w:fill="auto"/>
            <w:vAlign w:val="center"/>
            <w:hideMark/>
          </w:tcPr>
          <w:p w14:paraId="6D691262"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Moderate</w:t>
            </w:r>
          </w:p>
        </w:tc>
        <w:tc>
          <w:tcPr>
            <w:tcW w:w="2410" w:type="dxa"/>
            <w:shd w:val="clear" w:color="auto" w:fill="auto"/>
            <w:vAlign w:val="center"/>
            <w:hideMark/>
          </w:tcPr>
          <w:p w14:paraId="72F31FBA" w14:textId="77777777" w:rsidR="0092327C" w:rsidRPr="007C740F" w:rsidRDefault="008060F9"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Probably some under-estimation</w:t>
            </w:r>
          </w:p>
        </w:tc>
      </w:tr>
      <w:tr w:rsidR="0092327C" w:rsidRPr="007C740F" w14:paraId="7C87467E" w14:textId="77777777" w:rsidTr="00B012D1">
        <w:trPr>
          <w:trHeight w:val="284"/>
          <w:jc w:val="center"/>
        </w:trPr>
        <w:tc>
          <w:tcPr>
            <w:tcW w:w="1629" w:type="dxa"/>
            <w:shd w:val="clear" w:color="auto" w:fill="auto"/>
            <w:vAlign w:val="center"/>
            <w:hideMark/>
          </w:tcPr>
          <w:p w14:paraId="6776F39C"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Consanguinity-associated disorders</w:t>
            </w:r>
          </w:p>
        </w:tc>
        <w:tc>
          <w:tcPr>
            <w:tcW w:w="2479" w:type="dxa"/>
            <w:shd w:val="clear" w:color="auto" w:fill="auto"/>
            <w:vAlign w:val="center"/>
            <w:hideMark/>
          </w:tcPr>
          <w:p w14:paraId="596C8FE5" w14:textId="33D79F3C" w:rsidR="0092327C" w:rsidRPr="007C740F" w:rsidRDefault="0092327C" w:rsidP="00DD03FD">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Prospective study (UK) (Bundey &amp; Alam 1993)</w:t>
            </w:r>
            <w:r w:rsidR="00DD03FD" w:rsidRPr="007C740F">
              <w:rPr>
                <w:rFonts w:ascii="Calibri" w:eastAsia="Times New Roman" w:hAnsi="Calibri" w:cs="Times New Roman"/>
                <w:color w:val="000000"/>
                <w:sz w:val="18"/>
                <w:szCs w:val="18"/>
                <w:lang w:eastAsia="en-GB"/>
              </w:rPr>
              <w:t>.  A</w:t>
            </w:r>
            <w:r w:rsidRPr="007C740F">
              <w:rPr>
                <w:rFonts w:ascii="Calibri" w:eastAsia="Times New Roman" w:hAnsi="Calibri" w:cs="Times New Roman"/>
                <w:color w:val="000000"/>
                <w:sz w:val="18"/>
                <w:szCs w:val="18"/>
                <w:lang w:eastAsia="en-GB"/>
              </w:rPr>
              <w:t>ttributable early mortality (Bittles and Black 2010</w:t>
            </w:r>
            <w:r w:rsidR="005F5EEA" w:rsidRPr="007C740F">
              <w:rPr>
                <w:rFonts w:ascii="Calibri" w:eastAsia="Times New Roman" w:hAnsi="Calibri" w:cs="Times New Roman"/>
                <w:color w:val="000000"/>
                <w:sz w:val="18"/>
                <w:szCs w:val="18"/>
                <w:lang w:eastAsia="en-GB"/>
              </w:rPr>
              <w:t>a&amp;b</w:t>
            </w:r>
            <w:r w:rsidRPr="007C740F">
              <w:rPr>
                <w:rFonts w:ascii="Calibri" w:eastAsia="Times New Roman" w:hAnsi="Calibri" w:cs="Times New Roman"/>
                <w:color w:val="000000"/>
                <w:sz w:val="18"/>
                <w:szCs w:val="18"/>
                <w:lang w:eastAsia="en-GB"/>
              </w:rPr>
              <w:t>)</w:t>
            </w:r>
          </w:p>
        </w:tc>
        <w:tc>
          <w:tcPr>
            <w:tcW w:w="2575" w:type="dxa"/>
            <w:shd w:val="clear" w:color="auto" w:fill="auto"/>
            <w:vAlign w:val="center"/>
            <w:hideMark/>
          </w:tcPr>
          <w:p w14:paraId="34D9376F" w14:textId="5A835E51" w:rsidR="0092327C" w:rsidRPr="007C740F" w:rsidRDefault="00D34994"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Equation based on</w:t>
            </w:r>
            <w:r w:rsidR="0092327C" w:rsidRPr="007C740F">
              <w:rPr>
                <w:rFonts w:ascii="Calibri" w:eastAsia="Times New Roman" w:hAnsi="Calibri" w:cs="Times New Roman"/>
                <w:color w:val="000000"/>
                <w:sz w:val="18"/>
                <w:szCs w:val="18"/>
                <w:lang w:eastAsia="en-GB"/>
              </w:rPr>
              <w:t xml:space="preserve"> population coefficient of consanguinity</w:t>
            </w:r>
          </w:p>
        </w:tc>
        <w:tc>
          <w:tcPr>
            <w:tcW w:w="1250" w:type="dxa"/>
            <w:shd w:val="clear" w:color="auto" w:fill="auto"/>
            <w:vAlign w:val="center"/>
            <w:hideMark/>
          </w:tcPr>
          <w:p w14:paraId="0C305EBD"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High</w:t>
            </w:r>
          </w:p>
        </w:tc>
        <w:tc>
          <w:tcPr>
            <w:tcW w:w="2410" w:type="dxa"/>
            <w:shd w:val="clear" w:color="auto" w:fill="auto"/>
            <w:vAlign w:val="center"/>
            <w:hideMark/>
          </w:tcPr>
          <w:p w14:paraId="36AF4217" w14:textId="77777777" w:rsidR="0092327C" w:rsidRPr="007C740F" w:rsidRDefault="008060F9"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Good</w:t>
            </w:r>
            <w:r w:rsidR="0092327C" w:rsidRPr="007C740F">
              <w:rPr>
                <w:rFonts w:ascii="Calibri" w:eastAsia="Times New Roman" w:hAnsi="Calibri" w:cs="Times New Roman"/>
                <w:color w:val="000000"/>
                <w:sz w:val="18"/>
                <w:szCs w:val="18"/>
                <w:lang w:eastAsia="en-GB"/>
              </w:rPr>
              <w:t xml:space="preserve"> estimates of fetal death and early mortality due to recessive disorders</w:t>
            </w:r>
          </w:p>
        </w:tc>
      </w:tr>
      <w:tr w:rsidR="0092327C" w:rsidRPr="007C740F" w14:paraId="0AEC82B1" w14:textId="77777777" w:rsidTr="00B012D1">
        <w:trPr>
          <w:trHeight w:val="284"/>
          <w:jc w:val="center"/>
        </w:trPr>
        <w:tc>
          <w:tcPr>
            <w:tcW w:w="1629" w:type="dxa"/>
            <w:shd w:val="clear" w:color="auto" w:fill="auto"/>
            <w:vAlign w:val="center"/>
            <w:hideMark/>
          </w:tcPr>
          <w:p w14:paraId="6CA83D51"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Haemoglobin disorders</w:t>
            </w:r>
          </w:p>
        </w:tc>
        <w:tc>
          <w:tcPr>
            <w:tcW w:w="2479" w:type="dxa"/>
            <w:shd w:val="clear" w:color="auto" w:fill="auto"/>
            <w:vAlign w:val="center"/>
            <w:hideMark/>
          </w:tcPr>
          <w:p w14:paraId="0D453BD9"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Database of population-specific carrier prevalences</w:t>
            </w:r>
          </w:p>
        </w:tc>
        <w:tc>
          <w:tcPr>
            <w:tcW w:w="2575" w:type="dxa"/>
            <w:shd w:val="clear" w:color="auto" w:fill="auto"/>
            <w:vAlign w:val="center"/>
            <w:hideMark/>
          </w:tcPr>
          <w:p w14:paraId="3415AB35" w14:textId="3A609889"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Livingstone 1985, Modell &amp; Darlison 2008</w:t>
            </w:r>
            <w:r w:rsidR="00D34994" w:rsidRPr="007C740F">
              <w:rPr>
                <w:rFonts w:ascii="Calibri" w:eastAsia="Times New Roman" w:hAnsi="Calibri" w:cs="Times New Roman"/>
                <w:color w:val="000000"/>
                <w:sz w:val="18"/>
                <w:szCs w:val="18"/>
                <w:lang w:eastAsia="en-GB"/>
              </w:rPr>
              <w:t xml:space="preserve"> updated</w:t>
            </w:r>
          </w:p>
        </w:tc>
        <w:tc>
          <w:tcPr>
            <w:tcW w:w="1250" w:type="dxa"/>
            <w:shd w:val="clear" w:color="auto" w:fill="auto"/>
            <w:vAlign w:val="center"/>
            <w:hideMark/>
          </w:tcPr>
          <w:p w14:paraId="3E55CCA6"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Moderate</w:t>
            </w:r>
          </w:p>
        </w:tc>
        <w:tc>
          <w:tcPr>
            <w:tcW w:w="2410" w:type="dxa"/>
            <w:shd w:val="clear" w:color="auto" w:fill="auto"/>
            <w:vAlign w:val="center"/>
            <w:hideMark/>
          </w:tcPr>
          <w:p w14:paraId="7C98BF36" w14:textId="25F32D32" w:rsidR="0092327C" w:rsidRPr="007C740F" w:rsidRDefault="00CD6BCC" w:rsidP="00CD6BCC">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Uncertaint</w:t>
            </w:r>
            <w:r w:rsidR="008B0B70" w:rsidRPr="007C740F">
              <w:rPr>
                <w:rFonts w:ascii="Calibri" w:eastAsia="Times New Roman" w:hAnsi="Calibri" w:cs="Times New Roman"/>
                <w:color w:val="000000"/>
                <w:sz w:val="18"/>
                <w:szCs w:val="18"/>
                <w:lang w:eastAsia="en-GB"/>
              </w:rPr>
              <w:t xml:space="preserve">y: </w:t>
            </w:r>
            <w:r w:rsidRPr="007C740F">
              <w:rPr>
                <w:rFonts w:ascii="Calibri" w:eastAsia="Times New Roman" w:hAnsi="Calibri" w:cs="Times New Roman"/>
                <w:color w:val="000000"/>
                <w:sz w:val="18"/>
                <w:szCs w:val="18"/>
                <w:lang w:eastAsia="en-GB"/>
              </w:rPr>
              <w:t xml:space="preserve">falling </w:t>
            </w:r>
            <w:r w:rsidR="008B0B70" w:rsidRPr="007C740F">
              <w:rPr>
                <w:rFonts w:ascii="Calibri" w:eastAsia="Times New Roman" w:hAnsi="Calibri" w:cs="Times New Roman"/>
                <w:color w:val="000000"/>
                <w:sz w:val="18"/>
                <w:szCs w:val="18"/>
                <w:lang w:eastAsia="en-GB"/>
              </w:rPr>
              <w:t xml:space="preserve">carrier </w:t>
            </w:r>
            <w:r w:rsidRPr="007C740F">
              <w:rPr>
                <w:rFonts w:ascii="Calibri" w:eastAsia="Times New Roman" w:hAnsi="Calibri" w:cs="Times New Roman"/>
                <w:color w:val="000000"/>
                <w:sz w:val="18"/>
                <w:szCs w:val="18"/>
                <w:lang w:eastAsia="en-GB"/>
              </w:rPr>
              <w:t>prevalence with malaria control.</w:t>
            </w:r>
          </w:p>
        </w:tc>
      </w:tr>
      <w:tr w:rsidR="0092327C" w:rsidRPr="007C740F" w14:paraId="7198E0DC" w14:textId="77777777" w:rsidTr="00B012D1">
        <w:trPr>
          <w:trHeight w:val="284"/>
          <w:jc w:val="center"/>
        </w:trPr>
        <w:tc>
          <w:tcPr>
            <w:tcW w:w="1629" w:type="dxa"/>
            <w:shd w:val="clear" w:color="auto" w:fill="auto"/>
            <w:vAlign w:val="center"/>
            <w:hideMark/>
          </w:tcPr>
          <w:p w14:paraId="2E5E6E62"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Rhesus haemolytic disease</w:t>
            </w:r>
          </w:p>
        </w:tc>
        <w:tc>
          <w:tcPr>
            <w:tcW w:w="2479" w:type="dxa"/>
            <w:shd w:val="clear" w:color="auto" w:fill="auto"/>
            <w:vAlign w:val="center"/>
            <w:hideMark/>
          </w:tcPr>
          <w:p w14:paraId="77BD7446"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Database of population-specific carrier prevalences</w:t>
            </w:r>
          </w:p>
        </w:tc>
        <w:tc>
          <w:tcPr>
            <w:tcW w:w="2575" w:type="dxa"/>
            <w:shd w:val="clear" w:color="auto" w:fill="auto"/>
            <w:vAlign w:val="center"/>
            <w:hideMark/>
          </w:tcPr>
          <w:p w14:paraId="3A2296FE"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Mourant 1976, Bhutani et al. 2013.</w:t>
            </w:r>
          </w:p>
        </w:tc>
        <w:tc>
          <w:tcPr>
            <w:tcW w:w="1250" w:type="dxa"/>
            <w:shd w:val="clear" w:color="auto" w:fill="auto"/>
            <w:vAlign w:val="center"/>
            <w:hideMark/>
          </w:tcPr>
          <w:p w14:paraId="5C0767F6" w14:textId="77777777" w:rsidR="0092327C" w:rsidRPr="007C740F" w:rsidRDefault="0092327C" w:rsidP="008060F9">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Moderate</w:t>
            </w:r>
          </w:p>
        </w:tc>
        <w:tc>
          <w:tcPr>
            <w:tcW w:w="2410" w:type="dxa"/>
            <w:shd w:val="clear" w:color="auto" w:fill="auto"/>
            <w:vAlign w:val="center"/>
            <w:hideMark/>
          </w:tcPr>
          <w:p w14:paraId="232C3278" w14:textId="66912BD3" w:rsidR="0092327C" w:rsidRPr="007C740F" w:rsidRDefault="0092327C" w:rsidP="00CD6BCC">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Uncertain</w:t>
            </w:r>
            <w:r w:rsidR="00CD6BCC" w:rsidRPr="007C740F">
              <w:rPr>
                <w:rFonts w:ascii="Calibri" w:eastAsia="Times New Roman" w:hAnsi="Calibri" w:cs="Times New Roman"/>
                <w:color w:val="000000"/>
                <w:sz w:val="18"/>
                <w:szCs w:val="18"/>
                <w:lang w:eastAsia="en-GB"/>
              </w:rPr>
              <w:t>t</w:t>
            </w:r>
            <w:r w:rsidR="008B0B70" w:rsidRPr="007C740F">
              <w:rPr>
                <w:rFonts w:ascii="Calibri" w:eastAsia="Times New Roman" w:hAnsi="Calibri" w:cs="Times New Roman"/>
                <w:color w:val="000000"/>
                <w:sz w:val="18"/>
                <w:szCs w:val="18"/>
                <w:lang w:eastAsia="en-GB"/>
              </w:rPr>
              <w:t>y</w:t>
            </w:r>
            <w:r w:rsidR="00CD6BCC" w:rsidRPr="007C740F">
              <w:rPr>
                <w:rFonts w:ascii="Calibri" w:eastAsia="Times New Roman" w:hAnsi="Calibri" w:cs="Times New Roman"/>
                <w:color w:val="000000"/>
                <w:sz w:val="18"/>
                <w:szCs w:val="18"/>
                <w:lang w:eastAsia="en-GB"/>
              </w:rPr>
              <w:t>:</w:t>
            </w:r>
            <w:r w:rsidRPr="007C740F">
              <w:rPr>
                <w:rFonts w:ascii="Calibri" w:eastAsia="Times New Roman" w:hAnsi="Calibri" w:cs="Times New Roman"/>
                <w:color w:val="000000"/>
                <w:sz w:val="18"/>
                <w:szCs w:val="18"/>
                <w:lang w:eastAsia="en-GB"/>
              </w:rPr>
              <w:t xml:space="preserve"> rates </w:t>
            </w:r>
            <w:r w:rsidR="008060F9" w:rsidRPr="007C740F">
              <w:rPr>
                <w:rFonts w:ascii="Calibri" w:eastAsia="Times New Roman" w:hAnsi="Calibri" w:cs="Times New Roman"/>
                <w:color w:val="000000"/>
                <w:sz w:val="18"/>
                <w:szCs w:val="18"/>
                <w:lang w:eastAsia="en-GB"/>
              </w:rPr>
              <w:t xml:space="preserve">for </w:t>
            </w:r>
            <w:r w:rsidR="0012444A" w:rsidRPr="007C740F">
              <w:rPr>
                <w:rFonts w:ascii="Calibri" w:eastAsia="Times New Roman" w:hAnsi="Calibri" w:cs="Times New Roman"/>
                <w:color w:val="000000"/>
                <w:sz w:val="18"/>
                <w:szCs w:val="18"/>
                <w:lang w:eastAsia="en-GB"/>
              </w:rPr>
              <w:t>maternal immunisation</w:t>
            </w:r>
            <w:r w:rsidRPr="007C740F">
              <w:rPr>
                <w:rFonts w:ascii="Calibri" w:eastAsia="Times New Roman" w:hAnsi="Calibri" w:cs="Times New Roman"/>
                <w:color w:val="000000"/>
                <w:sz w:val="18"/>
                <w:szCs w:val="18"/>
                <w:lang w:eastAsia="en-GB"/>
              </w:rPr>
              <w:t xml:space="preserve"> </w:t>
            </w:r>
            <w:r w:rsidR="008060F9" w:rsidRPr="007C740F">
              <w:rPr>
                <w:rFonts w:ascii="Calibri" w:eastAsia="Times New Roman" w:hAnsi="Calibri" w:cs="Times New Roman"/>
                <w:color w:val="000000"/>
                <w:sz w:val="18"/>
                <w:szCs w:val="18"/>
                <w:lang w:eastAsia="en-GB"/>
              </w:rPr>
              <w:t>&amp; livebirth outcomes</w:t>
            </w:r>
            <w:r w:rsidR="00CD6BCC" w:rsidRPr="007C740F">
              <w:rPr>
                <w:rFonts w:ascii="Calibri" w:eastAsia="Times New Roman" w:hAnsi="Calibri" w:cs="Times New Roman"/>
                <w:color w:val="000000"/>
                <w:sz w:val="18"/>
                <w:szCs w:val="18"/>
                <w:lang w:eastAsia="en-GB"/>
              </w:rPr>
              <w:t xml:space="preserve"> based on North European populations.</w:t>
            </w:r>
          </w:p>
        </w:tc>
      </w:tr>
      <w:tr w:rsidR="0092327C" w:rsidRPr="007C740F" w14:paraId="7CB56D95" w14:textId="77777777" w:rsidTr="00B012D1">
        <w:trPr>
          <w:trHeight w:val="284"/>
          <w:jc w:val="center"/>
        </w:trPr>
        <w:tc>
          <w:tcPr>
            <w:tcW w:w="1629" w:type="dxa"/>
            <w:shd w:val="clear" w:color="auto" w:fill="auto"/>
            <w:vAlign w:val="center"/>
            <w:hideMark/>
          </w:tcPr>
          <w:p w14:paraId="10F74BC4" w14:textId="77777777" w:rsidR="0092327C" w:rsidRPr="007C740F" w:rsidRDefault="0092327C" w:rsidP="008060F9">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G6PD deficiency neonatal jaundice</w:t>
            </w:r>
          </w:p>
        </w:tc>
        <w:tc>
          <w:tcPr>
            <w:tcW w:w="2479" w:type="dxa"/>
            <w:shd w:val="clear" w:color="auto" w:fill="auto"/>
            <w:vAlign w:val="center"/>
            <w:hideMark/>
          </w:tcPr>
          <w:p w14:paraId="7A224AC8" w14:textId="77777777" w:rsidR="0092327C" w:rsidRPr="007C740F" w:rsidRDefault="0092327C" w:rsidP="008060F9">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Database of population-specific carrier prevalences</w:t>
            </w:r>
          </w:p>
        </w:tc>
        <w:tc>
          <w:tcPr>
            <w:tcW w:w="2575" w:type="dxa"/>
            <w:shd w:val="clear" w:color="auto" w:fill="auto"/>
            <w:vAlign w:val="center"/>
            <w:hideMark/>
          </w:tcPr>
          <w:p w14:paraId="109BDDC9" w14:textId="77777777" w:rsidR="0092327C" w:rsidRPr="007C740F" w:rsidRDefault="0092327C" w:rsidP="008060F9">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Livingstone 1985, Howes et al. 2012</w:t>
            </w:r>
          </w:p>
        </w:tc>
        <w:tc>
          <w:tcPr>
            <w:tcW w:w="1250" w:type="dxa"/>
            <w:shd w:val="clear" w:color="auto" w:fill="auto"/>
            <w:vAlign w:val="center"/>
            <w:hideMark/>
          </w:tcPr>
          <w:p w14:paraId="469816B3" w14:textId="77777777" w:rsidR="0092327C" w:rsidRPr="007C740F" w:rsidRDefault="0092327C" w:rsidP="008060F9">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Low</w:t>
            </w:r>
          </w:p>
        </w:tc>
        <w:tc>
          <w:tcPr>
            <w:tcW w:w="2410" w:type="dxa"/>
            <w:shd w:val="clear" w:color="auto" w:fill="auto"/>
            <w:vAlign w:val="center"/>
            <w:hideMark/>
          </w:tcPr>
          <w:p w14:paraId="53ABB116" w14:textId="6A4B29C6" w:rsidR="0092327C" w:rsidRPr="007C740F" w:rsidRDefault="0092327C" w:rsidP="00D34994">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Only risk</w:t>
            </w:r>
            <w:r w:rsidR="008060F9" w:rsidRPr="007C740F">
              <w:rPr>
                <w:rFonts w:ascii="Calibri" w:eastAsia="Times New Roman" w:hAnsi="Calibri" w:cs="Times New Roman"/>
                <w:color w:val="000000"/>
                <w:sz w:val="18"/>
                <w:szCs w:val="18"/>
                <w:lang w:eastAsia="en-GB"/>
              </w:rPr>
              <w:t xml:space="preserve"> can be </w:t>
            </w:r>
            <w:r w:rsidR="00D34994" w:rsidRPr="007C740F">
              <w:rPr>
                <w:rFonts w:ascii="Calibri" w:eastAsia="Times New Roman" w:hAnsi="Calibri" w:cs="Times New Roman"/>
                <w:color w:val="000000"/>
                <w:sz w:val="18"/>
                <w:szCs w:val="18"/>
                <w:lang w:eastAsia="en-GB"/>
              </w:rPr>
              <w:t xml:space="preserve">reliably </w:t>
            </w:r>
            <w:r w:rsidR="008060F9" w:rsidRPr="007C740F">
              <w:rPr>
                <w:rFonts w:ascii="Calibri" w:eastAsia="Times New Roman" w:hAnsi="Calibri" w:cs="Times New Roman"/>
                <w:color w:val="000000"/>
                <w:sz w:val="18"/>
                <w:szCs w:val="18"/>
                <w:lang w:eastAsia="en-GB"/>
              </w:rPr>
              <w:t>calculated</w:t>
            </w:r>
            <w:r w:rsidRPr="007C740F">
              <w:rPr>
                <w:rFonts w:ascii="Calibri" w:eastAsia="Times New Roman" w:hAnsi="Calibri" w:cs="Times New Roman"/>
                <w:color w:val="000000"/>
                <w:sz w:val="18"/>
                <w:szCs w:val="18"/>
                <w:lang w:eastAsia="en-GB"/>
              </w:rPr>
              <w:t xml:space="preserve"> because of </w:t>
            </w:r>
            <w:r w:rsidR="006D231A" w:rsidRPr="007C740F">
              <w:rPr>
                <w:rFonts w:ascii="Calibri" w:eastAsia="Times New Roman" w:hAnsi="Calibri" w:cs="Times New Roman"/>
                <w:color w:val="000000"/>
                <w:sz w:val="18"/>
                <w:szCs w:val="18"/>
                <w:lang w:eastAsia="en-GB"/>
              </w:rPr>
              <w:t xml:space="preserve">major </w:t>
            </w:r>
            <w:r w:rsidRPr="007C740F">
              <w:rPr>
                <w:rFonts w:ascii="Calibri" w:eastAsia="Times New Roman" w:hAnsi="Calibri" w:cs="Times New Roman"/>
                <w:color w:val="000000"/>
                <w:sz w:val="18"/>
                <w:szCs w:val="18"/>
                <w:lang w:eastAsia="en-GB"/>
              </w:rPr>
              <w:t>role of environmental factors</w:t>
            </w:r>
          </w:p>
        </w:tc>
      </w:tr>
    </w:tbl>
    <w:p w14:paraId="421FF391" w14:textId="79438F88" w:rsidR="00AC3F6F" w:rsidRPr="007C740F" w:rsidRDefault="004D2090" w:rsidP="00F555B6">
      <w:pPr>
        <w:pStyle w:val="BodyText1"/>
        <w:spacing w:before="240"/>
        <w:jc w:val="both"/>
      </w:pPr>
      <w:r w:rsidRPr="007C740F">
        <w:t xml:space="preserve">There is more uncertainty about </w:t>
      </w:r>
      <w:r w:rsidR="003D684E" w:rsidRPr="007C740F">
        <w:t xml:space="preserve">MGDb </w:t>
      </w:r>
      <w:r w:rsidRPr="007C740F">
        <w:t>outcome estimates</w:t>
      </w:r>
      <w:r w:rsidR="00AF03A4" w:rsidRPr="007C740F">
        <w:t>.</w:t>
      </w:r>
      <w:r w:rsidRPr="007C740F">
        <w:t xml:space="preserve"> </w:t>
      </w:r>
      <w:r w:rsidR="002D51CA" w:rsidRPr="007C740F">
        <w:t xml:space="preserve">These </w:t>
      </w:r>
      <w:r w:rsidRPr="007C740F">
        <w:t>are based on</w:t>
      </w:r>
      <w:r w:rsidR="003D684E" w:rsidRPr="007C740F">
        <w:t xml:space="preserve"> two relatively clear end-points -</w:t>
      </w:r>
      <w:r w:rsidRPr="007C740F">
        <w:t xml:space="preserve"> observed outcomes with </w:t>
      </w:r>
      <w:r w:rsidR="004B097B" w:rsidRPr="007C740F">
        <w:t xml:space="preserve">100% </w:t>
      </w:r>
      <w:r w:rsidR="00CE48DD" w:rsidRPr="007C740F">
        <w:t>access to services</w:t>
      </w:r>
      <w:r w:rsidRPr="007C740F">
        <w:t xml:space="preserve"> </w:t>
      </w:r>
      <w:r w:rsidR="003D684E" w:rsidRPr="007C740F">
        <w:t>and outcomes with no care</w:t>
      </w:r>
      <w:r w:rsidR="008B0B70" w:rsidRPr="007C740F">
        <w:t>, but country outcomes are calculated on the basis of estimated access to services and this has many limitations</w:t>
      </w:r>
      <w:r w:rsidRPr="007C740F">
        <w:t xml:space="preserve">. </w:t>
      </w:r>
      <w:r w:rsidR="00350CC0" w:rsidRPr="007C740F">
        <w:t xml:space="preserve">There is </w:t>
      </w:r>
      <w:r w:rsidR="008B0B70" w:rsidRPr="007C740F">
        <w:t xml:space="preserve">also </w:t>
      </w:r>
      <w:r w:rsidR="00350CC0" w:rsidRPr="007C740F">
        <w:t>considerable evidence of under-ascertainment of fetal death/stillbirth</w:t>
      </w:r>
      <w:r w:rsidR="008B0B70" w:rsidRPr="007C740F">
        <w:t xml:space="preserve"> in the sources used</w:t>
      </w:r>
      <w:r w:rsidR="00350CC0" w:rsidRPr="007C740F">
        <w:t>.</w:t>
      </w:r>
      <w:r w:rsidR="003D684E" w:rsidRPr="007C740F">
        <w:t xml:space="preserve"> </w:t>
      </w:r>
      <w:r w:rsidR="002D51CA" w:rsidRPr="007C740F">
        <w:t>D</w:t>
      </w:r>
      <w:r w:rsidR="00AF03A4" w:rsidRPr="007C740F">
        <w:t xml:space="preserve">ata </w:t>
      </w:r>
      <w:r w:rsidR="00E80D8A" w:rsidRPr="007C740F">
        <w:t>are</w:t>
      </w:r>
      <w:r w:rsidR="00AF03A4" w:rsidRPr="007C740F">
        <w:t xml:space="preserve"> available for survival with </w:t>
      </w:r>
      <w:r w:rsidR="004B097B" w:rsidRPr="007C740F">
        <w:t xml:space="preserve">100% </w:t>
      </w:r>
      <w:r w:rsidR="00CE48DD" w:rsidRPr="007C740F">
        <w:t xml:space="preserve">access </w:t>
      </w:r>
      <w:r w:rsidR="002D51CA" w:rsidRPr="007C740F">
        <w:t xml:space="preserve">to </w:t>
      </w:r>
      <w:r w:rsidR="008B0B70" w:rsidRPr="007C740F">
        <w:t xml:space="preserve">care </w:t>
      </w:r>
      <w:r w:rsidR="00AF03A4" w:rsidRPr="007C740F">
        <w:t>at least age 20 for most disorder groups</w:t>
      </w:r>
      <w:r w:rsidR="003D684E" w:rsidRPr="007C740F">
        <w:t>,</w:t>
      </w:r>
      <w:r w:rsidR="003F5B6D" w:rsidRPr="007C740F">
        <w:t xml:space="preserve"> but reports on long-term survival are more limited</w:t>
      </w:r>
      <w:r w:rsidR="008B0B70" w:rsidRPr="007C740F">
        <w:t>.</w:t>
      </w:r>
      <w:r w:rsidR="007262B5" w:rsidRPr="007C740F">
        <w:t xml:space="preserve"> </w:t>
      </w:r>
      <w:r w:rsidR="008B0B70" w:rsidRPr="007C740F">
        <w:t xml:space="preserve">Limited </w:t>
      </w:r>
      <w:r w:rsidR="003F5B6D" w:rsidRPr="007C740F">
        <w:t xml:space="preserve">observational data are available </w:t>
      </w:r>
      <w:r w:rsidR="008B0B70" w:rsidRPr="007C740F">
        <w:t xml:space="preserve">on </w:t>
      </w:r>
      <w:r w:rsidR="00AF03A4" w:rsidRPr="007C740F">
        <w:t>survival in the absence of care</w:t>
      </w:r>
      <w:r w:rsidR="003F5B6D" w:rsidRPr="007C740F">
        <w:t>.</w:t>
      </w:r>
    </w:p>
    <w:p w14:paraId="074F0C37" w14:textId="5ED85B86" w:rsidR="00AC3F6F" w:rsidRPr="007C740F" w:rsidRDefault="002A52A5" w:rsidP="007262B5">
      <w:pPr>
        <w:pStyle w:val="BodyText1"/>
      </w:pPr>
      <w:r w:rsidRPr="007C740F">
        <w:t>Thus,</w:t>
      </w:r>
      <w:r w:rsidR="00AC3F6F" w:rsidRPr="007C740F">
        <w:t xml:space="preserve"> there is a hierarchy of uncertainty in the </w:t>
      </w:r>
      <w:r w:rsidR="00871319" w:rsidRPr="007C740F">
        <w:t>MGDb</w:t>
      </w:r>
      <w:r w:rsidR="00AC3F6F" w:rsidRPr="007C740F">
        <w:t xml:space="preserve"> estimates</w:t>
      </w:r>
      <w:r w:rsidR="00E6441F" w:rsidRPr="007C740F">
        <w:t>.</w:t>
      </w:r>
    </w:p>
    <w:p w14:paraId="7E944B6E" w14:textId="4C2D75F9" w:rsidR="00AC3F6F" w:rsidRPr="007C740F" w:rsidRDefault="00AC3F6F" w:rsidP="00AC3F6F">
      <w:pPr>
        <w:pStyle w:val="BodyText1"/>
        <w:numPr>
          <w:ilvl w:val="0"/>
          <w:numId w:val="26"/>
        </w:numPr>
      </w:pPr>
      <w:r w:rsidRPr="007C740F">
        <w:t>Baseline birth prevalence</w:t>
      </w:r>
      <w:r w:rsidR="00790A04" w:rsidRPr="007C740F">
        <w:t xml:space="preserve"> estimates</w:t>
      </w:r>
      <w:r w:rsidRPr="007C740F">
        <w:t xml:space="preserve"> are evidence-based and may be used </w:t>
      </w:r>
      <w:r w:rsidR="00E6441F" w:rsidRPr="007C740F">
        <w:t xml:space="preserve">with reasonable confidence </w:t>
      </w:r>
      <w:r w:rsidRPr="007C740F">
        <w:t xml:space="preserve">as </w:t>
      </w:r>
      <w:r w:rsidR="00E6441F" w:rsidRPr="007C740F">
        <w:t xml:space="preserve">a </w:t>
      </w:r>
      <w:r w:rsidRPr="007C740F">
        <w:t>starting point for country-specific outcome estimates.</w:t>
      </w:r>
    </w:p>
    <w:p w14:paraId="1A1EB6AC" w14:textId="6C6404D1" w:rsidR="00AC3F6F" w:rsidRPr="007C740F" w:rsidRDefault="00AC3F6F" w:rsidP="00AC3F6F">
      <w:pPr>
        <w:pStyle w:val="BodyText1"/>
        <w:numPr>
          <w:ilvl w:val="0"/>
          <w:numId w:val="26"/>
        </w:numPr>
      </w:pPr>
      <w:r w:rsidRPr="007C740F">
        <w:t xml:space="preserve">Outcome estimates with no care and </w:t>
      </w:r>
      <w:r w:rsidR="004B097B" w:rsidRPr="007C740F">
        <w:t xml:space="preserve">100% </w:t>
      </w:r>
      <w:r w:rsidR="00CE48DD" w:rsidRPr="007C740F">
        <w:t>access to services</w:t>
      </w:r>
      <w:r w:rsidRPr="007C740F">
        <w:t xml:space="preserve"> are susceptible to change and </w:t>
      </w:r>
      <w:r w:rsidR="00790A04" w:rsidRPr="007C740F">
        <w:t xml:space="preserve">require </w:t>
      </w:r>
      <w:r w:rsidR="002D51CA" w:rsidRPr="007C740F">
        <w:t>regular</w:t>
      </w:r>
      <w:r w:rsidRPr="007C740F">
        <w:t xml:space="preserve"> review.</w:t>
      </w:r>
    </w:p>
    <w:p w14:paraId="275293C4" w14:textId="77777777" w:rsidR="00AC3F6F" w:rsidRPr="007C740F" w:rsidRDefault="00AC3F6F" w:rsidP="00AC3F6F">
      <w:pPr>
        <w:pStyle w:val="BodyText1"/>
        <w:numPr>
          <w:ilvl w:val="0"/>
          <w:numId w:val="26"/>
        </w:numPr>
      </w:pPr>
      <w:r w:rsidRPr="007C740F">
        <w:t>Country-specific estimates need stringent critical review by local experts.</w:t>
      </w:r>
    </w:p>
    <w:p w14:paraId="7B7ECE0E" w14:textId="77777777" w:rsidR="002467CD" w:rsidRPr="007C740F" w:rsidRDefault="002467CD" w:rsidP="00AB45DC">
      <w:pPr>
        <w:pStyle w:val="Heading2"/>
      </w:pPr>
      <w:bookmarkStart w:id="33" w:name="_Toc193659684"/>
      <w:r w:rsidRPr="007C740F">
        <w:t>Provisional estimates for environmental disorders</w:t>
      </w:r>
      <w:bookmarkEnd w:id="33"/>
    </w:p>
    <w:p w14:paraId="102B6158" w14:textId="14C90B00" w:rsidR="00222D06" w:rsidRPr="007C740F" w:rsidRDefault="009F7BDD" w:rsidP="00F555B6">
      <w:pPr>
        <w:pStyle w:val="BodyText1"/>
        <w:jc w:val="both"/>
      </w:pPr>
      <w:r w:rsidRPr="007C740F">
        <w:t>Until recently</w:t>
      </w:r>
      <w:r w:rsidR="006F5467" w:rsidRPr="007C740F">
        <w:t>,</w:t>
      </w:r>
      <w:r w:rsidRPr="007C740F">
        <w:t xml:space="preserve"> the main focus of policy-makers in lower income settings has been on environmental congenital disorders</w:t>
      </w:r>
      <w:r w:rsidR="007262B5" w:rsidRPr="007C740F">
        <w:t>. I</w:t>
      </w:r>
      <w:r w:rsidR="002467CD" w:rsidRPr="007C740F">
        <w:t>nterventions such as iodization of salt, immunization against rubella, diagnosis and treatment of maternal infection, and avoidance of environmental risks have reduced the birth prevalence of most environmental congenital disorders to a very low level in high income countries</w:t>
      </w:r>
      <w:r w:rsidR="007262B5" w:rsidRPr="007C740F">
        <w:t>, but t</w:t>
      </w:r>
      <w:r w:rsidR="00E354BC" w:rsidRPr="007C740F">
        <w:t>hey</w:t>
      </w:r>
      <w:r w:rsidR="002467CD" w:rsidRPr="007C740F">
        <w:t xml:space="preserve"> remain common in many </w:t>
      </w:r>
      <w:r w:rsidR="002A52A5" w:rsidRPr="007C740F">
        <w:t>low- and middle-income</w:t>
      </w:r>
      <w:r w:rsidR="002467CD" w:rsidRPr="007C740F">
        <w:t xml:space="preserve"> countries</w:t>
      </w:r>
      <w:r w:rsidR="007262B5" w:rsidRPr="007C740F">
        <w:t>. I</w:t>
      </w:r>
      <w:r w:rsidR="002467CD" w:rsidRPr="007C740F">
        <w:t xml:space="preserve">t is </w:t>
      </w:r>
      <w:r w:rsidR="007262B5" w:rsidRPr="007C740F">
        <w:t xml:space="preserve">however </w:t>
      </w:r>
      <w:r w:rsidR="002467CD" w:rsidRPr="007C740F">
        <w:t xml:space="preserve">difficult to estimate their past and </w:t>
      </w:r>
      <w:r w:rsidR="00E354BC" w:rsidRPr="007C740F">
        <w:t>present</w:t>
      </w:r>
      <w:r w:rsidR="002467CD" w:rsidRPr="007C740F">
        <w:t xml:space="preserve"> prevalence </w:t>
      </w:r>
      <w:r w:rsidR="007262B5" w:rsidRPr="007C740F">
        <w:t xml:space="preserve">in these countries </w:t>
      </w:r>
      <w:r w:rsidR="002467CD" w:rsidRPr="007C740F">
        <w:t>because of the limited availability of surveillance data.</w:t>
      </w:r>
    </w:p>
    <w:p w14:paraId="4AB3E852" w14:textId="40445619" w:rsidR="002467CD" w:rsidRPr="007C740F" w:rsidRDefault="00222D06" w:rsidP="00F555B6">
      <w:pPr>
        <w:pStyle w:val="BodyText1"/>
        <w:jc w:val="both"/>
      </w:pPr>
      <w:r w:rsidRPr="007C740F">
        <w:lastRenderedPageBreak/>
        <w:t xml:space="preserve">Prevention of congenital disorders converts early death or life-long disability to an unaffected life and so ranks among the most effective of health interventions. </w:t>
      </w:r>
      <w:r w:rsidR="002467CD" w:rsidRPr="007C740F">
        <w:t>It is therefore desirable to attempt some estimate, however approximate, of the</w:t>
      </w:r>
      <w:r w:rsidRPr="007C740F">
        <w:t>ir population</w:t>
      </w:r>
      <w:r w:rsidR="002467CD" w:rsidRPr="007C740F">
        <w:t xml:space="preserve"> effect.</w:t>
      </w:r>
    </w:p>
    <w:p w14:paraId="72E467BB" w14:textId="3106C4E8" w:rsidR="002467CD" w:rsidRPr="007C740F" w:rsidRDefault="00222D06" w:rsidP="00F555B6">
      <w:pPr>
        <w:pStyle w:val="BodyText1"/>
        <w:jc w:val="both"/>
      </w:pPr>
      <w:r w:rsidRPr="007C740F">
        <w:t xml:space="preserve">Estimates could be </w:t>
      </w:r>
      <w:r w:rsidR="002467CD" w:rsidRPr="007C740F">
        <w:t>attempt</w:t>
      </w:r>
      <w:r w:rsidRPr="007C740F">
        <w:t>ed</w:t>
      </w:r>
      <w:r w:rsidR="002467CD" w:rsidRPr="007C740F">
        <w:t xml:space="preserve"> for five common congenital infections </w:t>
      </w:r>
      <w:r w:rsidRPr="007C740F">
        <w:t xml:space="preserve">using </w:t>
      </w:r>
      <w:r w:rsidR="002467CD" w:rsidRPr="007C740F">
        <w:t xml:space="preserve">global assessments </w:t>
      </w:r>
      <w:r w:rsidRPr="007C740F">
        <w:t xml:space="preserve">available </w:t>
      </w:r>
      <w:r w:rsidR="002467CD" w:rsidRPr="007C740F">
        <w:t xml:space="preserve">in the literature: rubella (Cutts et al. 1997), syphilis (Newman et al. 2013), cytomegalovirus (Lanzieri et al. 2014), toxoplasmosis (Moncada et al. 2012) and </w:t>
      </w:r>
      <w:r w:rsidR="00985B85" w:rsidRPr="007C740F">
        <w:t>HIV/</w:t>
      </w:r>
      <w:r w:rsidR="002467CD" w:rsidRPr="007C740F">
        <w:t xml:space="preserve">AIDS (Global Burden of Disease study, </w:t>
      </w:r>
      <w:r w:rsidRPr="007C740F">
        <w:t>GBD</w:t>
      </w:r>
      <w:r w:rsidR="002467CD" w:rsidRPr="007C740F">
        <w:t xml:space="preserve">). Table </w:t>
      </w:r>
      <w:r w:rsidR="00576058" w:rsidRPr="007C740F">
        <w:t>1</w:t>
      </w:r>
      <w:r w:rsidR="008B0B70" w:rsidRPr="007C740F">
        <w:t>3</w:t>
      </w:r>
      <w:r w:rsidR="002467CD" w:rsidRPr="007C740F">
        <w:t xml:space="preserve"> summarises the resulting estimate of their global impact</w:t>
      </w:r>
      <w:r w:rsidR="005D4CD8" w:rsidRPr="007C740F">
        <w:t xml:space="preserve"> in 2010-14</w:t>
      </w:r>
      <w:r w:rsidR="002467CD" w:rsidRPr="007C740F">
        <w:t>.</w:t>
      </w:r>
    </w:p>
    <w:p w14:paraId="3F6C57E3" w14:textId="05D83D03" w:rsidR="002467CD" w:rsidRPr="007C740F" w:rsidRDefault="00E354BC" w:rsidP="002467CD">
      <w:pPr>
        <w:pStyle w:val="Tableheading"/>
      </w:pPr>
      <w:r w:rsidRPr="007C740F">
        <w:t xml:space="preserve">Table </w:t>
      </w:r>
      <w:r w:rsidR="008B0B70" w:rsidRPr="007C740F">
        <w:t>13</w:t>
      </w:r>
      <w:r w:rsidR="002467CD" w:rsidRPr="007C740F">
        <w:t xml:space="preserve">. Provisional estimate of the effect of interventions for prevention of congenital infections in </w:t>
      </w:r>
      <w:r w:rsidR="00222D06" w:rsidRPr="007C740F">
        <w:t>2020-24</w:t>
      </w:r>
    </w:p>
    <w:tbl>
      <w:tblPr>
        <w:tblW w:w="8693" w:type="dxa"/>
        <w:jc w:val="center"/>
        <w:tblLayout w:type="fixed"/>
        <w:tblLook w:val="04A0" w:firstRow="1" w:lastRow="0" w:firstColumn="1" w:lastColumn="0" w:noHBand="0" w:noVBand="1"/>
      </w:tblPr>
      <w:tblGrid>
        <w:gridCol w:w="960"/>
        <w:gridCol w:w="960"/>
        <w:gridCol w:w="994"/>
        <w:gridCol w:w="941"/>
        <w:gridCol w:w="1102"/>
        <w:gridCol w:w="804"/>
        <w:gridCol w:w="960"/>
        <w:gridCol w:w="960"/>
        <w:gridCol w:w="1012"/>
      </w:tblGrid>
      <w:tr w:rsidR="002467CD" w:rsidRPr="007C740F" w14:paraId="2F01166D" w14:textId="77777777" w:rsidTr="004669FA">
        <w:trPr>
          <w:trHeight w:val="284"/>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3A74691F" w14:textId="77777777" w:rsidR="002467CD" w:rsidRPr="007C740F" w:rsidRDefault="002467CD" w:rsidP="004669FA">
            <w:pPr>
              <w:keepNext/>
              <w:spacing w:after="0" w:line="240" w:lineRule="auto"/>
              <w:jc w:val="center"/>
              <w:rPr>
                <w:rFonts w:ascii="Times New Roman" w:eastAsia="Times New Roman" w:hAnsi="Times New Roman" w:cs="Times New Roman"/>
                <w:sz w:val="24"/>
                <w:szCs w:val="24"/>
                <w:lang w:eastAsia="en-GB"/>
              </w:rPr>
            </w:pPr>
            <w:r w:rsidRPr="007C740F">
              <w:rPr>
                <w:rFonts w:ascii="Calibri" w:eastAsia="Times New Roman" w:hAnsi="Calibri" w:cs="Times New Roman"/>
                <w:color w:val="000000"/>
                <w:sz w:val="18"/>
                <w:szCs w:val="18"/>
                <w:lang w:eastAsia="en-GB"/>
              </w:rPr>
              <w:t>WHO Region</w:t>
            </w:r>
          </w:p>
        </w:tc>
        <w:tc>
          <w:tcPr>
            <w:tcW w:w="960" w:type="dxa"/>
            <w:vMerge w:val="restart"/>
            <w:tcBorders>
              <w:top w:val="single" w:sz="4" w:space="0" w:color="auto"/>
              <w:left w:val="single" w:sz="4" w:space="0" w:color="auto"/>
              <w:right w:val="nil"/>
            </w:tcBorders>
            <w:shd w:val="clear" w:color="auto" w:fill="auto"/>
            <w:noWrap/>
            <w:vAlign w:val="center"/>
            <w:hideMark/>
          </w:tcPr>
          <w:p w14:paraId="1EF192F2" w14:textId="77777777" w:rsidR="002467CD" w:rsidRPr="007C740F" w:rsidRDefault="002467CD" w:rsidP="004669FA">
            <w:pPr>
              <w:keepNext/>
              <w:spacing w:after="0" w:line="240" w:lineRule="auto"/>
              <w:jc w:val="center"/>
              <w:rPr>
                <w:rFonts w:ascii="Times New Roman" w:eastAsia="Times New Roman" w:hAnsi="Times New Roman" w:cs="Times New Roman"/>
                <w:sz w:val="20"/>
                <w:szCs w:val="20"/>
                <w:lang w:eastAsia="en-GB"/>
              </w:rPr>
            </w:pPr>
            <w:r w:rsidRPr="007C740F">
              <w:rPr>
                <w:rFonts w:ascii="Calibri" w:eastAsia="Times New Roman" w:hAnsi="Calibri" w:cs="Times New Roman"/>
                <w:color w:val="000000"/>
                <w:sz w:val="18"/>
                <w:szCs w:val="18"/>
                <w:lang w:eastAsia="en-GB"/>
              </w:rPr>
              <w:t>WPP Av ann births 1,000s</w:t>
            </w:r>
          </w:p>
        </w:tc>
        <w:tc>
          <w:tcPr>
            <w:tcW w:w="3037" w:type="dxa"/>
            <w:gridSpan w:val="3"/>
            <w:tcBorders>
              <w:top w:val="single" w:sz="4" w:space="0" w:color="auto"/>
              <w:left w:val="single" w:sz="4" w:space="0" w:color="auto"/>
              <w:bottom w:val="single" w:sz="4" w:space="0" w:color="auto"/>
              <w:right w:val="nil"/>
            </w:tcBorders>
            <w:shd w:val="clear" w:color="auto" w:fill="auto"/>
            <w:vAlign w:val="center"/>
            <w:hideMark/>
          </w:tcPr>
          <w:p w14:paraId="349F08BC" w14:textId="77777777" w:rsidR="002467CD" w:rsidRPr="007C740F" w:rsidRDefault="002467CD" w:rsidP="004669FA">
            <w:pPr>
              <w:keepNext/>
              <w:spacing w:after="0" w:line="240" w:lineRule="auto"/>
              <w:jc w:val="center"/>
              <w:rPr>
                <w:rFonts w:ascii="Times New Roman" w:eastAsia="Times New Roman" w:hAnsi="Times New Roman" w:cs="Times New Roman"/>
                <w:sz w:val="20"/>
                <w:szCs w:val="20"/>
                <w:lang w:eastAsia="en-GB"/>
              </w:rPr>
            </w:pPr>
            <w:r w:rsidRPr="007C740F">
              <w:rPr>
                <w:rFonts w:ascii="Calibri" w:eastAsia="Times New Roman" w:hAnsi="Calibri" w:cs="Times New Roman"/>
                <w:color w:val="000000"/>
                <w:sz w:val="18"/>
                <w:szCs w:val="18"/>
                <w:lang w:eastAsia="en-GB"/>
              </w:rPr>
              <w:t>Congenital infections /1,000 births</w:t>
            </w:r>
          </w:p>
        </w:tc>
        <w:tc>
          <w:tcPr>
            <w:tcW w:w="804" w:type="dxa"/>
            <w:vMerge w:val="restart"/>
            <w:tcBorders>
              <w:top w:val="single" w:sz="4" w:space="0" w:color="auto"/>
              <w:left w:val="single" w:sz="4" w:space="0" w:color="auto"/>
              <w:right w:val="nil"/>
            </w:tcBorders>
            <w:shd w:val="clear" w:color="auto" w:fill="auto"/>
            <w:vAlign w:val="center"/>
          </w:tcPr>
          <w:p w14:paraId="541EDE53" w14:textId="77777777" w:rsidR="002467CD" w:rsidRPr="007C740F" w:rsidRDefault="002467CD" w:rsidP="004669FA">
            <w:pPr>
              <w:keepNext/>
              <w:spacing w:after="0" w:line="240" w:lineRule="auto"/>
              <w:jc w:val="center"/>
              <w:rPr>
                <w:rFonts w:ascii="Times New Roman" w:eastAsia="Times New Roman" w:hAnsi="Times New Roman" w:cs="Times New Roman"/>
                <w:sz w:val="20"/>
                <w:szCs w:val="20"/>
                <w:lang w:eastAsia="en-GB"/>
              </w:rPr>
            </w:pPr>
            <w:r w:rsidRPr="007C740F">
              <w:rPr>
                <w:rFonts w:ascii="Calibri" w:eastAsia="Times New Roman" w:hAnsi="Calibri" w:cs="Times New Roman"/>
                <w:color w:val="000000"/>
                <w:sz w:val="18"/>
                <w:szCs w:val="18"/>
                <w:lang w:eastAsia="en-GB"/>
              </w:rPr>
              <w:t>% reduct-ion</w:t>
            </w:r>
          </w:p>
        </w:tc>
        <w:tc>
          <w:tcPr>
            <w:tcW w:w="29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4401AD" w14:textId="77777777" w:rsidR="002467CD" w:rsidRPr="007C740F" w:rsidRDefault="002467CD" w:rsidP="004669FA">
            <w:pPr>
              <w:keepNext/>
              <w:spacing w:after="0" w:line="240" w:lineRule="auto"/>
              <w:jc w:val="center"/>
              <w:rPr>
                <w:rFonts w:ascii="Times New Roman" w:eastAsia="Times New Roman" w:hAnsi="Times New Roman" w:cs="Times New Roman"/>
                <w:sz w:val="20"/>
                <w:szCs w:val="20"/>
                <w:lang w:eastAsia="en-GB"/>
              </w:rPr>
            </w:pPr>
            <w:r w:rsidRPr="007C740F">
              <w:rPr>
                <w:rFonts w:ascii="Calibri" w:eastAsia="Times New Roman" w:hAnsi="Calibri" w:cs="Times New Roman"/>
                <w:color w:val="000000"/>
                <w:sz w:val="18"/>
                <w:szCs w:val="18"/>
                <w:lang w:eastAsia="en-GB"/>
              </w:rPr>
              <w:t>Annual numbers</w:t>
            </w:r>
          </w:p>
        </w:tc>
      </w:tr>
      <w:tr w:rsidR="002467CD" w:rsidRPr="007C740F" w14:paraId="1EFA73F0" w14:textId="77777777" w:rsidTr="004669FA">
        <w:trPr>
          <w:trHeight w:val="284"/>
          <w:jc w:val="center"/>
        </w:trPr>
        <w:tc>
          <w:tcPr>
            <w:tcW w:w="960" w:type="dxa"/>
            <w:vMerge/>
            <w:tcBorders>
              <w:left w:val="single" w:sz="4" w:space="0" w:color="auto"/>
              <w:bottom w:val="single" w:sz="4" w:space="0" w:color="auto"/>
              <w:right w:val="single" w:sz="4" w:space="0" w:color="auto"/>
            </w:tcBorders>
            <w:shd w:val="clear" w:color="auto" w:fill="auto"/>
            <w:vAlign w:val="center"/>
            <w:hideMark/>
          </w:tcPr>
          <w:p w14:paraId="57C61F80"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p>
        </w:tc>
        <w:tc>
          <w:tcPr>
            <w:tcW w:w="960" w:type="dxa"/>
            <w:vMerge/>
            <w:tcBorders>
              <w:left w:val="single" w:sz="4" w:space="0" w:color="auto"/>
              <w:bottom w:val="single" w:sz="4" w:space="0" w:color="auto"/>
              <w:right w:val="nil"/>
            </w:tcBorders>
            <w:shd w:val="clear" w:color="auto" w:fill="auto"/>
            <w:vAlign w:val="center"/>
            <w:hideMark/>
          </w:tcPr>
          <w:p w14:paraId="66B34B69"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p>
        </w:tc>
        <w:tc>
          <w:tcPr>
            <w:tcW w:w="994" w:type="dxa"/>
            <w:tcBorders>
              <w:top w:val="single" w:sz="4" w:space="0" w:color="auto"/>
              <w:left w:val="single" w:sz="4" w:space="0" w:color="auto"/>
              <w:bottom w:val="single" w:sz="4" w:space="0" w:color="auto"/>
              <w:right w:val="nil"/>
            </w:tcBorders>
            <w:shd w:val="clear" w:color="auto" w:fill="auto"/>
            <w:vAlign w:val="center"/>
            <w:hideMark/>
          </w:tcPr>
          <w:p w14:paraId="0760FA27"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Total adverse outcomes no care</w:t>
            </w:r>
          </w:p>
        </w:tc>
        <w:tc>
          <w:tcPr>
            <w:tcW w:w="941" w:type="dxa"/>
            <w:tcBorders>
              <w:top w:val="single" w:sz="4" w:space="0" w:color="auto"/>
              <w:left w:val="nil"/>
              <w:bottom w:val="single" w:sz="4" w:space="0" w:color="auto"/>
              <w:right w:val="nil"/>
            </w:tcBorders>
            <w:shd w:val="clear" w:color="auto" w:fill="auto"/>
            <w:vAlign w:val="center"/>
            <w:hideMark/>
          </w:tcPr>
          <w:p w14:paraId="2E695913"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Actual total adverse outcomes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8AFC81"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Difference</w:t>
            </w:r>
          </w:p>
        </w:tc>
        <w:tc>
          <w:tcPr>
            <w:tcW w:w="804" w:type="dxa"/>
            <w:vMerge/>
            <w:tcBorders>
              <w:left w:val="single" w:sz="4" w:space="0" w:color="auto"/>
              <w:bottom w:val="single" w:sz="4" w:space="0" w:color="auto"/>
              <w:right w:val="nil"/>
            </w:tcBorders>
            <w:shd w:val="clear" w:color="auto" w:fill="auto"/>
            <w:vAlign w:val="center"/>
            <w:hideMark/>
          </w:tcPr>
          <w:p w14:paraId="6105A918"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p>
        </w:tc>
        <w:tc>
          <w:tcPr>
            <w:tcW w:w="960" w:type="dxa"/>
            <w:tcBorders>
              <w:top w:val="single" w:sz="4" w:space="0" w:color="auto"/>
              <w:left w:val="single" w:sz="4" w:space="0" w:color="auto"/>
              <w:bottom w:val="single" w:sz="4" w:space="0" w:color="auto"/>
              <w:right w:val="nil"/>
            </w:tcBorders>
            <w:shd w:val="clear" w:color="auto" w:fill="auto"/>
            <w:vAlign w:val="center"/>
            <w:hideMark/>
          </w:tcPr>
          <w:p w14:paraId="3134DB75"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Total adverse outcomes if no care</w:t>
            </w:r>
          </w:p>
        </w:tc>
        <w:tc>
          <w:tcPr>
            <w:tcW w:w="960" w:type="dxa"/>
            <w:tcBorders>
              <w:top w:val="single" w:sz="4" w:space="0" w:color="auto"/>
              <w:left w:val="nil"/>
              <w:bottom w:val="single" w:sz="4" w:space="0" w:color="auto"/>
              <w:right w:val="nil"/>
            </w:tcBorders>
            <w:shd w:val="clear" w:color="auto" w:fill="auto"/>
            <w:vAlign w:val="center"/>
            <w:hideMark/>
          </w:tcPr>
          <w:p w14:paraId="53D3D3E5"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Actual total adverse outcomes</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074E178" w14:textId="15E8413E"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Annual gain in unaffected</w:t>
            </w:r>
            <w:r w:rsidR="00222D06" w:rsidRPr="007C740F">
              <w:rPr>
                <w:rFonts w:ascii="Calibri" w:eastAsia="Times New Roman" w:hAnsi="Calibri" w:cs="Times New Roman"/>
                <w:color w:val="000000"/>
                <w:sz w:val="18"/>
                <w:szCs w:val="18"/>
                <w:lang w:eastAsia="en-GB"/>
              </w:rPr>
              <w:t xml:space="preserve"> births</w:t>
            </w:r>
          </w:p>
        </w:tc>
      </w:tr>
      <w:tr w:rsidR="002467CD" w:rsidRPr="007C740F" w14:paraId="3BEC5FE9"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093E92A3"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AFR</w:t>
            </w:r>
          </w:p>
        </w:tc>
        <w:tc>
          <w:tcPr>
            <w:tcW w:w="960" w:type="dxa"/>
            <w:tcBorders>
              <w:top w:val="nil"/>
              <w:left w:val="single" w:sz="4" w:space="0" w:color="auto"/>
              <w:bottom w:val="nil"/>
              <w:right w:val="nil"/>
            </w:tcBorders>
            <w:shd w:val="clear" w:color="auto" w:fill="auto"/>
            <w:noWrap/>
            <w:vAlign w:val="center"/>
            <w:hideMark/>
          </w:tcPr>
          <w:p w14:paraId="408C2B07"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34,647</w:t>
            </w:r>
          </w:p>
        </w:tc>
        <w:tc>
          <w:tcPr>
            <w:tcW w:w="994" w:type="dxa"/>
            <w:tcBorders>
              <w:top w:val="nil"/>
              <w:left w:val="single" w:sz="4" w:space="0" w:color="auto"/>
              <w:bottom w:val="nil"/>
              <w:right w:val="nil"/>
            </w:tcBorders>
            <w:shd w:val="clear" w:color="auto" w:fill="auto"/>
            <w:vAlign w:val="center"/>
            <w:hideMark/>
          </w:tcPr>
          <w:p w14:paraId="5C5B8964"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12.6</w:t>
            </w:r>
          </w:p>
        </w:tc>
        <w:tc>
          <w:tcPr>
            <w:tcW w:w="941" w:type="dxa"/>
            <w:tcBorders>
              <w:top w:val="nil"/>
              <w:left w:val="nil"/>
              <w:bottom w:val="nil"/>
              <w:right w:val="nil"/>
            </w:tcBorders>
            <w:shd w:val="clear" w:color="auto" w:fill="auto"/>
            <w:vAlign w:val="center"/>
            <w:hideMark/>
          </w:tcPr>
          <w:p w14:paraId="3EB29B64"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5.7</w:t>
            </w:r>
          </w:p>
        </w:tc>
        <w:tc>
          <w:tcPr>
            <w:tcW w:w="1102" w:type="dxa"/>
            <w:tcBorders>
              <w:top w:val="nil"/>
              <w:left w:val="nil"/>
              <w:bottom w:val="nil"/>
              <w:right w:val="single" w:sz="4" w:space="0" w:color="auto"/>
            </w:tcBorders>
            <w:shd w:val="clear" w:color="auto" w:fill="auto"/>
            <w:vAlign w:val="center"/>
            <w:hideMark/>
          </w:tcPr>
          <w:p w14:paraId="650031E7"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6.9</w:t>
            </w:r>
          </w:p>
        </w:tc>
        <w:tc>
          <w:tcPr>
            <w:tcW w:w="804" w:type="dxa"/>
            <w:tcBorders>
              <w:top w:val="nil"/>
              <w:left w:val="single" w:sz="4" w:space="0" w:color="auto"/>
              <w:bottom w:val="nil"/>
              <w:right w:val="nil"/>
            </w:tcBorders>
            <w:shd w:val="clear" w:color="auto" w:fill="auto"/>
            <w:vAlign w:val="center"/>
            <w:hideMark/>
          </w:tcPr>
          <w:p w14:paraId="53875E4F"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55</w:t>
            </w:r>
          </w:p>
        </w:tc>
        <w:tc>
          <w:tcPr>
            <w:tcW w:w="960" w:type="dxa"/>
            <w:tcBorders>
              <w:top w:val="nil"/>
              <w:left w:val="single" w:sz="4" w:space="0" w:color="auto"/>
              <w:bottom w:val="nil"/>
              <w:right w:val="nil"/>
            </w:tcBorders>
            <w:shd w:val="clear" w:color="auto" w:fill="auto"/>
            <w:noWrap/>
            <w:vAlign w:val="center"/>
            <w:hideMark/>
          </w:tcPr>
          <w:p w14:paraId="0B39CC0D"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437,234</w:t>
            </w:r>
          </w:p>
        </w:tc>
        <w:tc>
          <w:tcPr>
            <w:tcW w:w="960" w:type="dxa"/>
            <w:tcBorders>
              <w:top w:val="nil"/>
              <w:left w:val="nil"/>
              <w:bottom w:val="nil"/>
              <w:right w:val="nil"/>
            </w:tcBorders>
            <w:shd w:val="clear" w:color="auto" w:fill="auto"/>
            <w:noWrap/>
            <w:vAlign w:val="center"/>
            <w:hideMark/>
          </w:tcPr>
          <w:p w14:paraId="4355CFE9"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196,730</w:t>
            </w:r>
          </w:p>
        </w:tc>
        <w:tc>
          <w:tcPr>
            <w:tcW w:w="1012" w:type="dxa"/>
            <w:tcBorders>
              <w:top w:val="nil"/>
              <w:left w:val="nil"/>
              <w:bottom w:val="nil"/>
              <w:right w:val="single" w:sz="4" w:space="0" w:color="auto"/>
            </w:tcBorders>
            <w:shd w:val="clear" w:color="auto" w:fill="auto"/>
            <w:noWrap/>
            <w:vAlign w:val="center"/>
            <w:hideMark/>
          </w:tcPr>
          <w:p w14:paraId="4E15F888"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240,503</w:t>
            </w:r>
          </w:p>
        </w:tc>
      </w:tr>
      <w:tr w:rsidR="002467CD" w:rsidRPr="007C740F" w14:paraId="3959C774"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762833B3"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AMR</w:t>
            </w:r>
          </w:p>
        </w:tc>
        <w:tc>
          <w:tcPr>
            <w:tcW w:w="960" w:type="dxa"/>
            <w:tcBorders>
              <w:top w:val="nil"/>
              <w:left w:val="single" w:sz="4" w:space="0" w:color="auto"/>
              <w:bottom w:val="nil"/>
              <w:right w:val="nil"/>
            </w:tcBorders>
            <w:shd w:val="clear" w:color="auto" w:fill="auto"/>
            <w:noWrap/>
            <w:vAlign w:val="center"/>
            <w:hideMark/>
          </w:tcPr>
          <w:p w14:paraId="7F5453DB"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15,319</w:t>
            </w:r>
          </w:p>
        </w:tc>
        <w:tc>
          <w:tcPr>
            <w:tcW w:w="994" w:type="dxa"/>
            <w:tcBorders>
              <w:top w:val="nil"/>
              <w:left w:val="single" w:sz="4" w:space="0" w:color="auto"/>
              <w:bottom w:val="nil"/>
              <w:right w:val="nil"/>
            </w:tcBorders>
            <w:shd w:val="clear" w:color="auto" w:fill="auto"/>
            <w:vAlign w:val="center"/>
            <w:hideMark/>
          </w:tcPr>
          <w:p w14:paraId="6122063F"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4.1</w:t>
            </w:r>
          </w:p>
        </w:tc>
        <w:tc>
          <w:tcPr>
            <w:tcW w:w="941" w:type="dxa"/>
            <w:tcBorders>
              <w:top w:val="nil"/>
              <w:left w:val="nil"/>
              <w:bottom w:val="nil"/>
              <w:right w:val="nil"/>
            </w:tcBorders>
            <w:shd w:val="clear" w:color="auto" w:fill="auto"/>
            <w:vAlign w:val="center"/>
            <w:hideMark/>
          </w:tcPr>
          <w:p w14:paraId="71568B4E"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w:t>
            </w:r>
          </w:p>
        </w:tc>
        <w:tc>
          <w:tcPr>
            <w:tcW w:w="1102" w:type="dxa"/>
            <w:tcBorders>
              <w:top w:val="nil"/>
              <w:left w:val="nil"/>
              <w:bottom w:val="nil"/>
              <w:right w:val="single" w:sz="4" w:space="0" w:color="auto"/>
            </w:tcBorders>
            <w:shd w:val="clear" w:color="auto" w:fill="auto"/>
            <w:vAlign w:val="center"/>
            <w:hideMark/>
          </w:tcPr>
          <w:p w14:paraId="202B292C"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2.7</w:t>
            </w:r>
          </w:p>
        </w:tc>
        <w:tc>
          <w:tcPr>
            <w:tcW w:w="804" w:type="dxa"/>
            <w:tcBorders>
              <w:top w:val="nil"/>
              <w:left w:val="single" w:sz="4" w:space="0" w:color="auto"/>
              <w:bottom w:val="nil"/>
              <w:right w:val="nil"/>
            </w:tcBorders>
            <w:shd w:val="clear" w:color="auto" w:fill="auto"/>
            <w:vAlign w:val="center"/>
            <w:hideMark/>
          </w:tcPr>
          <w:p w14:paraId="32D73DF3"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65</w:t>
            </w:r>
          </w:p>
        </w:tc>
        <w:tc>
          <w:tcPr>
            <w:tcW w:w="960" w:type="dxa"/>
            <w:tcBorders>
              <w:top w:val="nil"/>
              <w:left w:val="single" w:sz="4" w:space="0" w:color="auto"/>
              <w:bottom w:val="nil"/>
              <w:right w:val="nil"/>
            </w:tcBorders>
            <w:shd w:val="clear" w:color="auto" w:fill="auto"/>
            <w:noWrap/>
            <w:vAlign w:val="center"/>
            <w:hideMark/>
          </w:tcPr>
          <w:p w14:paraId="06705944"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62,448</w:t>
            </w:r>
          </w:p>
        </w:tc>
        <w:tc>
          <w:tcPr>
            <w:tcW w:w="960" w:type="dxa"/>
            <w:tcBorders>
              <w:top w:val="nil"/>
              <w:left w:val="nil"/>
              <w:bottom w:val="nil"/>
              <w:right w:val="nil"/>
            </w:tcBorders>
            <w:shd w:val="clear" w:color="auto" w:fill="auto"/>
            <w:noWrap/>
            <w:vAlign w:val="center"/>
            <w:hideMark/>
          </w:tcPr>
          <w:p w14:paraId="1F1D2BD8"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21,771</w:t>
            </w:r>
          </w:p>
        </w:tc>
        <w:tc>
          <w:tcPr>
            <w:tcW w:w="1012" w:type="dxa"/>
            <w:tcBorders>
              <w:top w:val="nil"/>
              <w:left w:val="nil"/>
              <w:bottom w:val="nil"/>
              <w:right w:val="single" w:sz="4" w:space="0" w:color="auto"/>
            </w:tcBorders>
            <w:shd w:val="clear" w:color="auto" w:fill="auto"/>
            <w:noWrap/>
            <w:vAlign w:val="center"/>
            <w:hideMark/>
          </w:tcPr>
          <w:p w14:paraId="3D27C267"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40,677</w:t>
            </w:r>
          </w:p>
        </w:tc>
      </w:tr>
      <w:tr w:rsidR="002467CD" w:rsidRPr="007C740F" w14:paraId="47377F67"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44458568"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EMR</w:t>
            </w:r>
          </w:p>
        </w:tc>
        <w:tc>
          <w:tcPr>
            <w:tcW w:w="960" w:type="dxa"/>
            <w:tcBorders>
              <w:top w:val="nil"/>
              <w:left w:val="single" w:sz="4" w:space="0" w:color="auto"/>
              <w:bottom w:val="nil"/>
              <w:right w:val="nil"/>
            </w:tcBorders>
            <w:shd w:val="clear" w:color="auto" w:fill="auto"/>
            <w:noWrap/>
            <w:vAlign w:val="center"/>
            <w:hideMark/>
          </w:tcPr>
          <w:p w14:paraId="3A1BBF92"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16,906</w:t>
            </w:r>
          </w:p>
        </w:tc>
        <w:tc>
          <w:tcPr>
            <w:tcW w:w="994" w:type="dxa"/>
            <w:tcBorders>
              <w:top w:val="nil"/>
              <w:left w:val="single" w:sz="4" w:space="0" w:color="auto"/>
              <w:bottom w:val="nil"/>
              <w:right w:val="nil"/>
            </w:tcBorders>
            <w:shd w:val="clear" w:color="auto" w:fill="auto"/>
            <w:vAlign w:val="center"/>
            <w:hideMark/>
          </w:tcPr>
          <w:p w14:paraId="5591273E"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3.3</w:t>
            </w:r>
          </w:p>
        </w:tc>
        <w:tc>
          <w:tcPr>
            <w:tcW w:w="941" w:type="dxa"/>
            <w:tcBorders>
              <w:top w:val="nil"/>
              <w:left w:val="nil"/>
              <w:bottom w:val="nil"/>
              <w:right w:val="nil"/>
            </w:tcBorders>
            <w:shd w:val="clear" w:color="auto" w:fill="auto"/>
            <w:vAlign w:val="center"/>
            <w:hideMark/>
          </w:tcPr>
          <w:p w14:paraId="3C9B623F"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w:t>
            </w:r>
          </w:p>
        </w:tc>
        <w:tc>
          <w:tcPr>
            <w:tcW w:w="1102" w:type="dxa"/>
            <w:tcBorders>
              <w:top w:val="nil"/>
              <w:left w:val="nil"/>
              <w:bottom w:val="nil"/>
              <w:right w:val="single" w:sz="4" w:space="0" w:color="auto"/>
            </w:tcBorders>
            <w:shd w:val="clear" w:color="auto" w:fill="auto"/>
            <w:vAlign w:val="center"/>
            <w:hideMark/>
          </w:tcPr>
          <w:p w14:paraId="3014D3DE"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1.0</w:t>
            </w:r>
          </w:p>
        </w:tc>
        <w:tc>
          <w:tcPr>
            <w:tcW w:w="804" w:type="dxa"/>
            <w:tcBorders>
              <w:top w:val="nil"/>
              <w:left w:val="single" w:sz="4" w:space="0" w:color="auto"/>
              <w:bottom w:val="nil"/>
              <w:right w:val="nil"/>
            </w:tcBorders>
            <w:shd w:val="clear" w:color="auto" w:fill="auto"/>
            <w:vAlign w:val="center"/>
            <w:hideMark/>
          </w:tcPr>
          <w:p w14:paraId="2A10C258"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w:t>
            </w:r>
          </w:p>
        </w:tc>
        <w:tc>
          <w:tcPr>
            <w:tcW w:w="960" w:type="dxa"/>
            <w:tcBorders>
              <w:top w:val="nil"/>
              <w:left w:val="single" w:sz="4" w:space="0" w:color="auto"/>
              <w:bottom w:val="nil"/>
              <w:right w:val="nil"/>
            </w:tcBorders>
            <w:shd w:val="clear" w:color="auto" w:fill="auto"/>
            <w:noWrap/>
            <w:vAlign w:val="center"/>
            <w:hideMark/>
          </w:tcPr>
          <w:p w14:paraId="5FFC6383"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56,521</w:t>
            </w:r>
          </w:p>
        </w:tc>
        <w:tc>
          <w:tcPr>
            <w:tcW w:w="960" w:type="dxa"/>
            <w:tcBorders>
              <w:top w:val="nil"/>
              <w:left w:val="nil"/>
              <w:bottom w:val="nil"/>
              <w:right w:val="nil"/>
            </w:tcBorders>
            <w:shd w:val="clear" w:color="auto" w:fill="auto"/>
            <w:noWrap/>
            <w:vAlign w:val="center"/>
            <w:hideMark/>
          </w:tcPr>
          <w:p w14:paraId="7082859C"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38,999</w:t>
            </w:r>
          </w:p>
        </w:tc>
        <w:tc>
          <w:tcPr>
            <w:tcW w:w="1012" w:type="dxa"/>
            <w:tcBorders>
              <w:top w:val="nil"/>
              <w:left w:val="nil"/>
              <w:bottom w:val="nil"/>
              <w:right w:val="single" w:sz="4" w:space="0" w:color="auto"/>
            </w:tcBorders>
            <w:shd w:val="clear" w:color="auto" w:fill="auto"/>
            <w:noWrap/>
            <w:vAlign w:val="center"/>
            <w:hideMark/>
          </w:tcPr>
          <w:p w14:paraId="5A4C9686"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17,522</w:t>
            </w:r>
          </w:p>
        </w:tc>
      </w:tr>
      <w:tr w:rsidR="002467CD" w:rsidRPr="007C740F" w14:paraId="0F4AECD8"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371F5B66"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EUR</w:t>
            </w:r>
          </w:p>
        </w:tc>
        <w:tc>
          <w:tcPr>
            <w:tcW w:w="960" w:type="dxa"/>
            <w:tcBorders>
              <w:top w:val="nil"/>
              <w:left w:val="single" w:sz="4" w:space="0" w:color="auto"/>
              <w:bottom w:val="nil"/>
              <w:right w:val="nil"/>
            </w:tcBorders>
            <w:shd w:val="clear" w:color="auto" w:fill="auto"/>
            <w:noWrap/>
            <w:vAlign w:val="center"/>
            <w:hideMark/>
          </w:tcPr>
          <w:p w14:paraId="49022EBF"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11,296</w:t>
            </w:r>
          </w:p>
        </w:tc>
        <w:tc>
          <w:tcPr>
            <w:tcW w:w="994" w:type="dxa"/>
            <w:tcBorders>
              <w:top w:val="nil"/>
              <w:left w:val="single" w:sz="4" w:space="0" w:color="auto"/>
              <w:bottom w:val="nil"/>
              <w:right w:val="nil"/>
            </w:tcBorders>
            <w:shd w:val="clear" w:color="auto" w:fill="auto"/>
            <w:vAlign w:val="center"/>
            <w:hideMark/>
          </w:tcPr>
          <w:p w14:paraId="73C8354B"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w:t>
            </w:r>
          </w:p>
        </w:tc>
        <w:tc>
          <w:tcPr>
            <w:tcW w:w="941" w:type="dxa"/>
            <w:tcBorders>
              <w:top w:val="nil"/>
              <w:left w:val="nil"/>
              <w:bottom w:val="nil"/>
              <w:right w:val="nil"/>
            </w:tcBorders>
            <w:shd w:val="clear" w:color="auto" w:fill="auto"/>
            <w:vAlign w:val="center"/>
            <w:hideMark/>
          </w:tcPr>
          <w:p w14:paraId="62B16B44"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0.9</w:t>
            </w:r>
          </w:p>
        </w:tc>
        <w:tc>
          <w:tcPr>
            <w:tcW w:w="1102" w:type="dxa"/>
            <w:tcBorders>
              <w:top w:val="nil"/>
              <w:left w:val="nil"/>
              <w:bottom w:val="nil"/>
              <w:right w:val="single" w:sz="4" w:space="0" w:color="auto"/>
            </w:tcBorders>
            <w:shd w:val="clear" w:color="auto" w:fill="auto"/>
            <w:vAlign w:val="center"/>
            <w:hideMark/>
          </w:tcPr>
          <w:p w14:paraId="4B6CF4A2"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w:t>
            </w:r>
          </w:p>
        </w:tc>
        <w:tc>
          <w:tcPr>
            <w:tcW w:w="804" w:type="dxa"/>
            <w:tcBorders>
              <w:top w:val="nil"/>
              <w:left w:val="single" w:sz="4" w:space="0" w:color="auto"/>
              <w:bottom w:val="nil"/>
              <w:right w:val="nil"/>
            </w:tcBorders>
            <w:shd w:val="clear" w:color="auto" w:fill="auto"/>
            <w:vAlign w:val="center"/>
            <w:hideMark/>
          </w:tcPr>
          <w:p w14:paraId="2DF1B807"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60</w:t>
            </w:r>
          </w:p>
        </w:tc>
        <w:tc>
          <w:tcPr>
            <w:tcW w:w="960" w:type="dxa"/>
            <w:tcBorders>
              <w:top w:val="nil"/>
              <w:left w:val="single" w:sz="4" w:space="0" w:color="auto"/>
              <w:bottom w:val="nil"/>
              <w:right w:val="nil"/>
            </w:tcBorders>
            <w:shd w:val="clear" w:color="auto" w:fill="auto"/>
            <w:noWrap/>
            <w:vAlign w:val="center"/>
            <w:hideMark/>
          </w:tcPr>
          <w:p w14:paraId="2D2DC1D5"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26,001</w:t>
            </w:r>
          </w:p>
        </w:tc>
        <w:tc>
          <w:tcPr>
            <w:tcW w:w="960" w:type="dxa"/>
            <w:tcBorders>
              <w:top w:val="nil"/>
              <w:left w:val="nil"/>
              <w:bottom w:val="nil"/>
              <w:right w:val="nil"/>
            </w:tcBorders>
            <w:shd w:val="clear" w:color="auto" w:fill="auto"/>
            <w:noWrap/>
            <w:vAlign w:val="center"/>
            <w:hideMark/>
          </w:tcPr>
          <w:p w14:paraId="4F71C153"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10,286</w:t>
            </w:r>
          </w:p>
        </w:tc>
        <w:tc>
          <w:tcPr>
            <w:tcW w:w="1012" w:type="dxa"/>
            <w:tcBorders>
              <w:top w:val="nil"/>
              <w:left w:val="nil"/>
              <w:bottom w:val="nil"/>
              <w:right w:val="single" w:sz="4" w:space="0" w:color="auto"/>
            </w:tcBorders>
            <w:shd w:val="clear" w:color="auto" w:fill="auto"/>
            <w:noWrap/>
            <w:vAlign w:val="center"/>
            <w:hideMark/>
          </w:tcPr>
          <w:p w14:paraId="5A1268CA"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15,714</w:t>
            </w:r>
          </w:p>
        </w:tc>
      </w:tr>
      <w:tr w:rsidR="002467CD" w:rsidRPr="007C740F" w14:paraId="40C00F6B"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486CDDAE"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SEAR</w:t>
            </w:r>
          </w:p>
        </w:tc>
        <w:tc>
          <w:tcPr>
            <w:tcW w:w="960" w:type="dxa"/>
            <w:tcBorders>
              <w:top w:val="nil"/>
              <w:left w:val="single" w:sz="4" w:space="0" w:color="auto"/>
              <w:bottom w:val="nil"/>
              <w:right w:val="nil"/>
            </w:tcBorders>
            <w:shd w:val="clear" w:color="auto" w:fill="auto"/>
            <w:noWrap/>
            <w:vAlign w:val="center"/>
            <w:hideMark/>
          </w:tcPr>
          <w:p w14:paraId="1381336E"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37,304</w:t>
            </w:r>
          </w:p>
        </w:tc>
        <w:tc>
          <w:tcPr>
            <w:tcW w:w="994" w:type="dxa"/>
            <w:tcBorders>
              <w:top w:val="nil"/>
              <w:left w:val="single" w:sz="4" w:space="0" w:color="auto"/>
              <w:bottom w:val="nil"/>
              <w:right w:val="nil"/>
            </w:tcBorders>
            <w:shd w:val="clear" w:color="auto" w:fill="auto"/>
            <w:vAlign w:val="center"/>
            <w:hideMark/>
          </w:tcPr>
          <w:p w14:paraId="5E9EC6EB"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9.4</w:t>
            </w:r>
          </w:p>
        </w:tc>
        <w:tc>
          <w:tcPr>
            <w:tcW w:w="941" w:type="dxa"/>
            <w:tcBorders>
              <w:top w:val="nil"/>
              <w:left w:val="nil"/>
              <w:bottom w:val="nil"/>
              <w:right w:val="nil"/>
            </w:tcBorders>
            <w:shd w:val="clear" w:color="auto" w:fill="auto"/>
            <w:vAlign w:val="center"/>
            <w:hideMark/>
          </w:tcPr>
          <w:p w14:paraId="0C421BE9"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3.2</w:t>
            </w:r>
          </w:p>
        </w:tc>
        <w:tc>
          <w:tcPr>
            <w:tcW w:w="1102" w:type="dxa"/>
            <w:tcBorders>
              <w:top w:val="nil"/>
              <w:left w:val="nil"/>
              <w:bottom w:val="nil"/>
              <w:right w:val="single" w:sz="4" w:space="0" w:color="auto"/>
            </w:tcBorders>
            <w:shd w:val="clear" w:color="auto" w:fill="auto"/>
            <w:vAlign w:val="center"/>
            <w:hideMark/>
          </w:tcPr>
          <w:p w14:paraId="5F357AC1"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6.1</w:t>
            </w:r>
          </w:p>
        </w:tc>
        <w:tc>
          <w:tcPr>
            <w:tcW w:w="804" w:type="dxa"/>
            <w:tcBorders>
              <w:top w:val="nil"/>
              <w:left w:val="single" w:sz="4" w:space="0" w:color="auto"/>
              <w:bottom w:val="nil"/>
              <w:right w:val="nil"/>
            </w:tcBorders>
            <w:shd w:val="clear" w:color="auto" w:fill="auto"/>
            <w:vAlign w:val="center"/>
            <w:hideMark/>
          </w:tcPr>
          <w:p w14:paraId="21B33866"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65</w:t>
            </w:r>
          </w:p>
        </w:tc>
        <w:tc>
          <w:tcPr>
            <w:tcW w:w="960" w:type="dxa"/>
            <w:tcBorders>
              <w:top w:val="nil"/>
              <w:left w:val="single" w:sz="4" w:space="0" w:color="auto"/>
              <w:bottom w:val="nil"/>
              <w:right w:val="nil"/>
            </w:tcBorders>
            <w:shd w:val="clear" w:color="auto" w:fill="auto"/>
            <w:noWrap/>
            <w:vAlign w:val="center"/>
            <w:hideMark/>
          </w:tcPr>
          <w:p w14:paraId="73876550"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349,232</w:t>
            </w:r>
          </w:p>
        </w:tc>
        <w:tc>
          <w:tcPr>
            <w:tcW w:w="960" w:type="dxa"/>
            <w:tcBorders>
              <w:top w:val="nil"/>
              <w:left w:val="nil"/>
              <w:bottom w:val="nil"/>
              <w:right w:val="nil"/>
            </w:tcBorders>
            <w:shd w:val="clear" w:color="auto" w:fill="auto"/>
            <w:noWrap/>
            <w:vAlign w:val="center"/>
            <w:hideMark/>
          </w:tcPr>
          <w:p w14:paraId="2C469A1C"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121,082</w:t>
            </w:r>
          </w:p>
        </w:tc>
        <w:tc>
          <w:tcPr>
            <w:tcW w:w="1012" w:type="dxa"/>
            <w:tcBorders>
              <w:top w:val="nil"/>
              <w:left w:val="nil"/>
              <w:bottom w:val="nil"/>
              <w:right w:val="single" w:sz="4" w:space="0" w:color="auto"/>
            </w:tcBorders>
            <w:shd w:val="clear" w:color="auto" w:fill="auto"/>
            <w:noWrap/>
            <w:vAlign w:val="center"/>
            <w:hideMark/>
          </w:tcPr>
          <w:p w14:paraId="2B92FB51"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228,150</w:t>
            </w:r>
          </w:p>
        </w:tc>
      </w:tr>
      <w:tr w:rsidR="002467CD" w:rsidRPr="007C740F" w14:paraId="566DA92D" w14:textId="77777777" w:rsidTr="004669FA">
        <w:trPr>
          <w:trHeight w:val="284"/>
          <w:jc w:val="center"/>
        </w:trPr>
        <w:tc>
          <w:tcPr>
            <w:tcW w:w="960" w:type="dxa"/>
            <w:tcBorders>
              <w:top w:val="nil"/>
              <w:left w:val="single" w:sz="4" w:space="0" w:color="auto"/>
              <w:bottom w:val="nil"/>
              <w:right w:val="single" w:sz="4" w:space="0" w:color="auto"/>
            </w:tcBorders>
            <w:shd w:val="clear" w:color="auto" w:fill="auto"/>
            <w:noWrap/>
            <w:vAlign w:val="center"/>
            <w:hideMark/>
          </w:tcPr>
          <w:p w14:paraId="231C502B"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WPR</w:t>
            </w:r>
          </w:p>
        </w:tc>
        <w:tc>
          <w:tcPr>
            <w:tcW w:w="960" w:type="dxa"/>
            <w:tcBorders>
              <w:top w:val="nil"/>
              <w:left w:val="single" w:sz="4" w:space="0" w:color="auto"/>
              <w:bottom w:val="nil"/>
              <w:right w:val="nil"/>
            </w:tcBorders>
            <w:shd w:val="clear" w:color="auto" w:fill="auto"/>
            <w:noWrap/>
            <w:vAlign w:val="center"/>
            <w:hideMark/>
          </w:tcPr>
          <w:p w14:paraId="103C425D"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24,368</w:t>
            </w:r>
          </w:p>
        </w:tc>
        <w:tc>
          <w:tcPr>
            <w:tcW w:w="994" w:type="dxa"/>
            <w:tcBorders>
              <w:top w:val="nil"/>
              <w:left w:val="single" w:sz="4" w:space="0" w:color="auto"/>
              <w:bottom w:val="nil"/>
              <w:right w:val="nil"/>
            </w:tcBorders>
            <w:shd w:val="clear" w:color="auto" w:fill="auto"/>
            <w:vAlign w:val="center"/>
            <w:hideMark/>
          </w:tcPr>
          <w:p w14:paraId="72CA9ADC"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w:t>
            </w:r>
          </w:p>
        </w:tc>
        <w:tc>
          <w:tcPr>
            <w:tcW w:w="941" w:type="dxa"/>
            <w:tcBorders>
              <w:top w:val="nil"/>
              <w:left w:val="nil"/>
              <w:bottom w:val="nil"/>
              <w:right w:val="nil"/>
            </w:tcBorders>
            <w:shd w:val="clear" w:color="auto" w:fill="auto"/>
            <w:vAlign w:val="center"/>
            <w:hideMark/>
          </w:tcPr>
          <w:p w14:paraId="61A3E926"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w:t>
            </w:r>
          </w:p>
        </w:tc>
        <w:tc>
          <w:tcPr>
            <w:tcW w:w="1102" w:type="dxa"/>
            <w:tcBorders>
              <w:top w:val="nil"/>
              <w:left w:val="nil"/>
              <w:bottom w:val="nil"/>
              <w:right w:val="single" w:sz="4" w:space="0" w:color="auto"/>
            </w:tcBorders>
            <w:shd w:val="clear" w:color="auto" w:fill="auto"/>
            <w:vAlign w:val="center"/>
            <w:hideMark/>
          </w:tcPr>
          <w:p w14:paraId="68344120"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w:t>
            </w:r>
          </w:p>
        </w:tc>
        <w:tc>
          <w:tcPr>
            <w:tcW w:w="804" w:type="dxa"/>
            <w:tcBorders>
              <w:top w:val="nil"/>
              <w:left w:val="single" w:sz="4" w:space="0" w:color="auto"/>
              <w:bottom w:val="nil"/>
              <w:right w:val="nil"/>
            </w:tcBorders>
            <w:shd w:val="clear" w:color="auto" w:fill="auto"/>
            <w:vAlign w:val="center"/>
            <w:hideMark/>
          </w:tcPr>
          <w:p w14:paraId="37B35F2A"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60</w:t>
            </w:r>
          </w:p>
        </w:tc>
        <w:tc>
          <w:tcPr>
            <w:tcW w:w="960" w:type="dxa"/>
            <w:tcBorders>
              <w:top w:val="nil"/>
              <w:left w:val="single" w:sz="4" w:space="0" w:color="auto"/>
              <w:bottom w:val="nil"/>
              <w:right w:val="nil"/>
            </w:tcBorders>
            <w:shd w:val="clear" w:color="auto" w:fill="auto"/>
            <w:noWrap/>
            <w:vAlign w:val="center"/>
            <w:hideMark/>
          </w:tcPr>
          <w:p w14:paraId="77568F5E"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75,559</w:t>
            </w:r>
          </w:p>
        </w:tc>
        <w:tc>
          <w:tcPr>
            <w:tcW w:w="960" w:type="dxa"/>
            <w:tcBorders>
              <w:top w:val="nil"/>
              <w:left w:val="nil"/>
              <w:bottom w:val="nil"/>
              <w:right w:val="nil"/>
            </w:tcBorders>
            <w:shd w:val="clear" w:color="auto" w:fill="auto"/>
            <w:noWrap/>
            <w:vAlign w:val="center"/>
            <w:hideMark/>
          </w:tcPr>
          <w:p w14:paraId="4EC7036E"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29,847</w:t>
            </w:r>
          </w:p>
        </w:tc>
        <w:tc>
          <w:tcPr>
            <w:tcW w:w="1012" w:type="dxa"/>
            <w:tcBorders>
              <w:top w:val="nil"/>
              <w:left w:val="nil"/>
              <w:bottom w:val="nil"/>
              <w:right w:val="single" w:sz="4" w:space="0" w:color="auto"/>
            </w:tcBorders>
            <w:shd w:val="clear" w:color="auto" w:fill="auto"/>
            <w:noWrap/>
            <w:vAlign w:val="center"/>
            <w:hideMark/>
          </w:tcPr>
          <w:p w14:paraId="43DB7D96"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45,711</w:t>
            </w:r>
          </w:p>
        </w:tc>
      </w:tr>
      <w:tr w:rsidR="002467CD" w:rsidRPr="007C740F" w14:paraId="76E11B0B" w14:textId="77777777" w:rsidTr="004669FA">
        <w:trPr>
          <w:trHeight w:val="284"/>
          <w:jc w:val="center"/>
        </w:trPr>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7FFFA57" w14:textId="77777777" w:rsidR="002467CD" w:rsidRPr="007C740F" w:rsidRDefault="002467CD" w:rsidP="004669FA">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World</w:t>
            </w:r>
          </w:p>
        </w:tc>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4233B106"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139,840</w:t>
            </w:r>
          </w:p>
        </w:tc>
        <w:tc>
          <w:tcPr>
            <w:tcW w:w="994" w:type="dxa"/>
            <w:tcBorders>
              <w:top w:val="single" w:sz="4" w:space="0" w:color="auto"/>
              <w:left w:val="single" w:sz="4" w:space="0" w:color="auto"/>
              <w:bottom w:val="double" w:sz="6" w:space="0" w:color="auto"/>
              <w:right w:val="nil"/>
            </w:tcBorders>
            <w:shd w:val="clear" w:color="auto" w:fill="auto"/>
            <w:vAlign w:val="center"/>
            <w:hideMark/>
          </w:tcPr>
          <w:p w14:paraId="541B0FB7"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7.2</w:t>
            </w:r>
          </w:p>
        </w:tc>
        <w:tc>
          <w:tcPr>
            <w:tcW w:w="941" w:type="dxa"/>
            <w:tcBorders>
              <w:top w:val="single" w:sz="4" w:space="0" w:color="auto"/>
              <w:left w:val="nil"/>
              <w:bottom w:val="double" w:sz="6" w:space="0" w:color="auto"/>
              <w:right w:val="nil"/>
            </w:tcBorders>
            <w:shd w:val="clear" w:color="auto" w:fill="auto"/>
            <w:vAlign w:val="center"/>
            <w:hideMark/>
          </w:tcPr>
          <w:p w14:paraId="2D36C5D6"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3.0</w:t>
            </w:r>
          </w:p>
        </w:tc>
        <w:tc>
          <w:tcPr>
            <w:tcW w:w="1102" w:type="dxa"/>
            <w:tcBorders>
              <w:top w:val="single" w:sz="4" w:space="0" w:color="auto"/>
              <w:left w:val="nil"/>
              <w:bottom w:val="double" w:sz="6" w:space="0" w:color="auto"/>
              <w:right w:val="single" w:sz="4" w:space="0" w:color="auto"/>
            </w:tcBorders>
            <w:shd w:val="clear" w:color="auto" w:fill="auto"/>
            <w:vAlign w:val="center"/>
            <w:hideMark/>
          </w:tcPr>
          <w:p w14:paraId="29505ADD"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4.2</w:t>
            </w:r>
          </w:p>
        </w:tc>
        <w:tc>
          <w:tcPr>
            <w:tcW w:w="804" w:type="dxa"/>
            <w:tcBorders>
              <w:top w:val="single" w:sz="4" w:space="0" w:color="auto"/>
              <w:left w:val="single" w:sz="4" w:space="0" w:color="auto"/>
              <w:bottom w:val="double" w:sz="6" w:space="0" w:color="auto"/>
              <w:right w:val="nil"/>
            </w:tcBorders>
            <w:shd w:val="clear" w:color="auto" w:fill="auto"/>
            <w:vAlign w:val="center"/>
            <w:hideMark/>
          </w:tcPr>
          <w:p w14:paraId="0ABAAC00" w14:textId="77777777" w:rsidR="002467CD" w:rsidRPr="007C740F" w:rsidRDefault="002467CD" w:rsidP="004669FA">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58</w:t>
            </w:r>
          </w:p>
        </w:tc>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36653C11"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1,006,994</w:t>
            </w:r>
          </w:p>
        </w:tc>
        <w:tc>
          <w:tcPr>
            <w:tcW w:w="960" w:type="dxa"/>
            <w:tcBorders>
              <w:top w:val="single" w:sz="4" w:space="0" w:color="auto"/>
              <w:left w:val="nil"/>
              <w:bottom w:val="double" w:sz="6" w:space="0" w:color="auto"/>
              <w:right w:val="nil"/>
            </w:tcBorders>
            <w:shd w:val="clear" w:color="auto" w:fill="auto"/>
            <w:noWrap/>
            <w:vAlign w:val="center"/>
            <w:hideMark/>
          </w:tcPr>
          <w:p w14:paraId="64BE1743"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418,716</w:t>
            </w:r>
          </w:p>
        </w:tc>
        <w:tc>
          <w:tcPr>
            <w:tcW w:w="1012" w:type="dxa"/>
            <w:tcBorders>
              <w:top w:val="single" w:sz="4" w:space="0" w:color="auto"/>
              <w:left w:val="nil"/>
              <w:bottom w:val="double" w:sz="6" w:space="0" w:color="auto"/>
              <w:right w:val="single" w:sz="4" w:space="0" w:color="auto"/>
            </w:tcBorders>
            <w:shd w:val="clear" w:color="auto" w:fill="auto"/>
            <w:noWrap/>
            <w:vAlign w:val="center"/>
            <w:hideMark/>
          </w:tcPr>
          <w:p w14:paraId="6B8F634B" w14:textId="77777777" w:rsidR="002467CD" w:rsidRPr="007C740F" w:rsidRDefault="002467CD" w:rsidP="004669FA">
            <w:pPr>
              <w:keepNext/>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588,278</w:t>
            </w:r>
          </w:p>
        </w:tc>
      </w:tr>
      <w:tr w:rsidR="002467CD" w:rsidRPr="007C740F" w14:paraId="650CEEBE" w14:textId="77777777" w:rsidTr="004669FA">
        <w:trPr>
          <w:trHeight w:val="284"/>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D77D4B" w14:textId="77777777" w:rsidR="002467CD" w:rsidRPr="007C740F" w:rsidRDefault="002467CD" w:rsidP="004669FA">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 Europe</w:t>
            </w:r>
          </w:p>
        </w:tc>
        <w:tc>
          <w:tcPr>
            <w:tcW w:w="960" w:type="dxa"/>
            <w:tcBorders>
              <w:top w:val="nil"/>
              <w:left w:val="single" w:sz="4" w:space="0" w:color="auto"/>
              <w:bottom w:val="single" w:sz="4" w:space="0" w:color="auto"/>
              <w:right w:val="nil"/>
            </w:tcBorders>
            <w:shd w:val="clear" w:color="auto" w:fill="auto"/>
            <w:noWrap/>
            <w:vAlign w:val="center"/>
            <w:hideMark/>
          </w:tcPr>
          <w:p w14:paraId="49EE694E" w14:textId="77777777" w:rsidR="002467CD" w:rsidRPr="007C740F" w:rsidRDefault="002467CD" w:rsidP="004669FA">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4,424</w:t>
            </w:r>
          </w:p>
        </w:tc>
        <w:tc>
          <w:tcPr>
            <w:tcW w:w="994" w:type="dxa"/>
            <w:tcBorders>
              <w:top w:val="nil"/>
              <w:left w:val="single" w:sz="4" w:space="0" w:color="auto"/>
              <w:bottom w:val="single" w:sz="4" w:space="0" w:color="auto"/>
              <w:right w:val="nil"/>
            </w:tcBorders>
            <w:shd w:val="clear" w:color="auto" w:fill="auto"/>
            <w:vAlign w:val="center"/>
            <w:hideMark/>
          </w:tcPr>
          <w:p w14:paraId="5A4AC4FA" w14:textId="77777777" w:rsidR="002467CD" w:rsidRPr="007C740F" w:rsidRDefault="002467CD" w:rsidP="004669FA">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w:t>
            </w:r>
          </w:p>
        </w:tc>
        <w:tc>
          <w:tcPr>
            <w:tcW w:w="941" w:type="dxa"/>
            <w:tcBorders>
              <w:top w:val="nil"/>
              <w:left w:val="nil"/>
              <w:bottom w:val="single" w:sz="4" w:space="0" w:color="auto"/>
              <w:right w:val="nil"/>
            </w:tcBorders>
            <w:shd w:val="clear" w:color="auto" w:fill="auto"/>
            <w:vAlign w:val="center"/>
            <w:hideMark/>
          </w:tcPr>
          <w:p w14:paraId="01739D64" w14:textId="77777777" w:rsidR="002467CD" w:rsidRPr="007C740F" w:rsidRDefault="002467CD" w:rsidP="004669FA">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0.7</w:t>
            </w:r>
          </w:p>
        </w:tc>
        <w:tc>
          <w:tcPr>
            <w:tcW w:w="1102" w:type="dxa"/>
            <w:tcBorders>
              <w:top w:val="nil"/>
              <w:left w:val="nil"/>
              <w:bottom w:val="single" w:sz="4" w:space="0" w:color="auto"/>
              <w:right w:val="single" w:sz="4" w:space="0" w:color="auto"/>
            </w:tcBorders>
            <w:shd w:val="clear" w:color="auto" w:fill="auto"/>
            <w:vAlign w:val="center"/>
            <w:hideMark/>
          </w:tcPr>
          <w:p w14:paraId="4B69AE63" w14:textId="77777777" w:rsidR="002467CD" w:rsidRPr="007C740F" w:rsidRDefault="002467CD" w:rsidP="004669FA">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w:t>
            </w:r>
          </w:p>
        </w:tc>
        <w:tc>
          <w:tcPr>
            <w:tcW w:w="804" w:type="dxa"/>
            <w:tcBorders>
              <w:top w:val="nil"/>
              <w:left w:val="single" w:sz="4" w:space="0" w:color="auto"/>
              <w:bottom w:val="single" w:sz="4" w:space="0" w:color="auto"/>
              <w:right w:val="nil"/>
            </w:tcBorders>
            <w:shd w:val="clear" w:color="auto" w:fill="auto"/>
            <w:vAlign w:val="center"/>
            <w:hideMark/>
          </w:tcPr>
          <w:p w14:paraId="3053FA7D" w14:textId="77777777" w:rsidR="002467CD" w:rsidRPr="007C740F" w:rsidRDefault="002467CD" w:rsidP="004669FA">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62</w:t>
            </w:r>
          </w:p>
        </w:tc>
        <w:tc>
          <w:tcPr>
            <w:tcW w:w="960" w:type="dxa"/>
            <w:tcBorders>
              <w:top w:val="nil"/>
              <w:left w:val="single" w:sz="4" w:space="0" w:color="auto"/>
              <w:bottom w:val="single" w:sz="4" w:space="0" w:color="auto"/>
              <w:right w:val="nil"/>
            </w:tcBorders>
            <w:shd w:val="clear" w:color="auto" w:fill="auto"/>
            <w:noWrap/>
            <w:vAlign w:val="center"/>
            <w:hideMark/>
          </w:tcPr>
          <w:p w14:paraId="20BD4948" w14:textId="77777777" w:rsidR="002467CD" w:rsidRPr="007C740F" w:rsidRDefault="002467CD" w:rsidP="004669FA">
            <w:pPr>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8,438</w:t>
            </w:r>
          </w:p>
        </w:tc>
        <w:tc>
          <w:tcPr>
            <w:tcW w:w="960" w:type="dxa"/>
            <w:tcBorders>
              <w:top w:val="nil"/>
              <w:left w:val="nil"/>
              <w:bottom w:val="single" w:sz="4" w:space="0" w:color="auto"/>
              <w:right w:val="nil"/>
            </w:tcBorders>
            <w:shd w:val="clear" w:color="auto" w:fill="auto"/>
            <w:noWrap/>
            <w:vAlign w:val="center"/>
            <w:hideMark/>
          </w:tcPr>
          <w:p w14:paraId="18B107A8" w14:textId="77777777" w:rsidR="002467CD" w:rsidRPr="007C740F" w:rsidRDefault="002467CD" w:rsidP="004669FA">
            <w:pPr>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3,185</w:t>
            </w:r>
          </w:p>
        </w:tc>
        <w:tc>
          <w:tcPr>
            <w:tcW w:w="1012" w:type="dxa"/>
            <w:tcBorders>
              <w:top w:val="nil"/>
              <w:left w:val="nil"/>
              <w:bottom w:val="single" w:sz="4" w:space="0" w:color="auto"/>
              <w:right w:val="single" w:sz="4" w:space="0" w:color="auto"/>
            </w:tcBorders>
            <w:shd w:val="clear" w:color="auto" w:fill="auto"/>
            <w:noWrap/>
            <w:vAlign w:val="center"/>
            <w:hideMark/>
          </w:tcPr>
          <w:p w14:paraId="5A7F69DB" w14:textId="77777777" w:rsidR="002467CD" w:rsidRPr="007C740F" w:rsidRDefault="002467CD" w:rsidP="004669FA">
            <w:pPr>
              <w:spacing w:after="0" w:line="240" w:lineRule="auto"/>
              <w:jc w:val="right"/>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5,253</w:t>
            </w:r>
          </w:p>
        </w:tc>
      </w:tr>
    </w:tbl>
    <w:p w14:paraId="18D96A59" w14:textId="77777777" w:rsidR="0038126A" w:rsidRPr="007C740F" w:rsidRDefault="002467CD" w:rsidP="00F555B6">
      <w:pPr>
        <w:pStyle w:val="BodyText1"/>
        <w:spacing w:before="240"/>
        <w:jc w:val="both"/>
      </w:pPr>
      <w:r w:rsidRPr="007C740F">
        <w:t xml:space="preserve">It </w:t>
      </w:r>
      <w:r w:rsidR="00222D06" w:rsidRPr="007C740F">
        <w:t xml:space="preserve">is </w:t>
      </w:r>
      <w:r w:rsidRPr="007C740F">
        <w:t xml:space="preserve">reasonable to assume that </w:t>
      </w:r>
      <w:r w:rsidR="00222D06" w:rsidRPr="007C740F">
        <w:t xml:space="preserve">other </w:t>
      </w:r>
      <w:r w:rsidRPr="007C740F">
        <w:t xml:space="preserve">preventive interventions have </w:t>
      </w:r>
      <w:r w:rsidR="00222D06" w:rsidRPr="007C740F">
        <w:t xml:space="preserve">an </w:t>
      </w:r>
      <w:r w:rsidRPr="007C740F">
        <w:t xml:space="preserve">at least equivalent impact. </w:t>
      </w:r>
      <w:r w:rsidR="00E354BC" w:rsidRPr="007C740F">
        <w:t xml:space="preserve">If so, </w:t>
      </w:r>
      <w:r w:rsidRPr="007C740F">
        <w:t xml:space="preserve">it is possible to make a provisional order-of magnitude </w:t>
      </w:r>
      <w:r w:rsidRPr="007C740F">
        <w:rPr>
          <w:i/>
          <w:iCs/>
        </w:rPr>
        <w:t>minimum</w:t>
      </w:r>
      <w:r w:rsidRPr="007C740F">
        <w:t xml:space="preserve"> estimate by doubling the estimates in Table </w:t>
      </w:r>
      <w:r w:rsidR="00576058" w:rsidRPr="007C740F">
        <w:t>12</w:t>
      </w:r>
      <w:r w:rsidRPr="007C740F">
        <w:t>.</w:t>
      </w:r>
      <w:r w:rsidR="0038126A" w:rsidRPr="007C740F">
        <w:t xml:space="preserve"> </w:t>
      </w:r>
    </w:p>
    <w:p w14:paraId="3F015125" w14:textId="20B4A6FB" w:rsidR="00D819D5" w:rsidRPr="007C740F" w:rsidRDefault="00D819D5" w:rsidP="00F555B6">
      <w:pPr>
        <w:pStyle w:val="BodyText1"/>
        <w:spacing w:before="240"/>
        <w:jc w:val="both"/>
      </w:pPr>
      <w:r w:rsidRPr="007C740F">
        <w:t xml:space="preserve">Table </w:t>
      </w:r>
      <w:r w:rsidR="000F4BB2" w:rsidRPr="007C740F">
        <w:t>1</w:t>
      </w:r>
      <w:r w:rsidR="008B0B70" w:rsidRPr="007C740F">
        <w:t>4</w:t>
      </w:r>
      <w:r w:rsidRPr="007C740F">
        <w:t xml:space="preserve"> </w:t>
      </w:r>
      <w:r w:rsidR="002D51CA" w:rsidRPr="007C740F">
        <w:t>compares</w:t>
      </w:r>
      <w:r w:rsidRPr="007C740F">
        <w:t xml:space="preserve"> </w:t>
      </w:r>
      <w:r w:rsidR="002D51CA" w:rsidRPr="007C740F">
        <w:t>the</w:t>
      </w:r>
      <w:r w:rsidR="00E354BC" w:rsidRPr="007C740F">
        <w:t>se</w:t>
      </w:r>
      <w:r w:rsidR="00AB45DC" w:rsidRPr="007C740F">
        <w:t xml:space="preserve"> </w:t>
      </w:r>
      <w:r w:rsidRPr="007C740F">
        <w:t xml:space="preserve">provisional </w:t>
      </w:r>
      <w:r w:rsidR="00AB45DC" w:rsidRPr="007C740F">
        <w:t xml:space="preserve">estimates of the present </w:t>
      </w:r>
      <w:r w:rsidRPr="007C740F">
        <w:t xml:space="preserve">birth prevalence </w:t>
      </w:r>
      <w:r w:rsidR="00AB45DC" w:rsidRPr="007C740F">
        <w:t xml:space="preserve">of environmental disorders </w:t>
      </w:r>
      <w:r w:rsidR="002D51CA" w:rsidRPr="007C740F">
        <w:t xml:space="preserve">with MGDb estimates for </w:t>
      </w:r>
      <w:r w:rsidR="00871319" w:rsidRPr="007C740F">
        <w:t>endogenous</w:t>
      </w:r>
      <w:r w:rsidRPr="007C740F">
        <w:t xml:space="preserve"> disorders</w:t>
      </w:r>
      <w:r w:rsidR="0038126A" w:rsidRPr="007C740F">
        <w:t xml:space="preserve">. It suggests that </w:t>
      </w:r>
      <w:r w:rsidR="00E2186C" w:rsidRPr="007C740F">
        <w:t>e</w:t>
      </w:r>
      <w:r w:rsidR="00AB45DC" w:rsidRPr="007C740F">
        <w:t>nvironmental disorders may currently</w:t>
      </w:r>
      <w:r w:rsidR="00865229" w:rsidRPr="007C740F">
        <w:t xml:space="preserve"> account for around 26% of </w:t>
      </w:r>
      <w:r w:rsidR="0038126A" w:rsidRPr="007C740F">
        <w:t xml:space="preserve">total </w:t>
      </w:r>
      <w:r w:rsidR="00865229" w:rsidRPr="007C740F">
        <w:t xml:space="preserve">global </w:t>
      </w:r>
      <w:r w:rsidR="0038126A" w:rsidRPr="007C740F">
        <w:t xml:space="preserve">under-5 deaths attributable to congenital disorders, </w:t>
      </w:r>
      <w:r w:rsidR="00865229" w:rsidRPr="007C740F">
        <w:t xml:space="preserve">ranging from 35% in Africa to around 10% in Western Europe. </w:t>
      </w:r>
    </w:p>
    <w:p w14:paraId="3092D80D" w14:textId="5C919578" w:rsidR="00D819D5" w:rsidRPr="007C740F" w:rsidRDefault="000F4BB2" w:rsidP="00CA7FAE">
      <w:pPr>
        <w:pStyle w:val="Tableheading"/>
        <w:spacing w:before="0" w:after="0"/>
        <w:rPr>
          <w:sz w:val="18"/>
        </w:rPr>
      </w:pPr>
      <w:r w:rsidRPr="007C740F">
        <w:t>Table 1</w:t>
      </w:r>
      <w:r w:rsidR="008B0B70" w:rsidRPr="007C740F">
        <w:t>4</w:t>
      </w:r>
      <w:r w:rsidR="00D819D5" w:rsidRPr="007C740F">
        <w:t>. Comparison of estimated baseline birth prevalence</w:t>
      </w:r>
      <w:r w:rsidR="002C5707" w:rsidRPr="007C740F">
        <w:t xml:space="preserve"> rates</w:t>
      </w:r>
      <w:r w:rsidR="00D819D5" w:rsidRPr="007C740F">
        <w:t>, and relative contributions of environmental and</w:t>
      </w:r>
      <w:r w:rsidR="00871319" w:rsidRPr="007C740F">
        <w:t xml:space="preserve"> endogenous</w:t>
      </w:r>
      <w:r w:rsidR="00D819D5" w:rsidRPr="007C740F">
        <w:t xml:space="preserve"> congenital disorders to total congenital disorders, by WHO region.</w:t>
      </w:r>
      <w:r w:rsidR="00845F80" w:rsidRPr="007C740F">
        <w:t xml:space="preserve"> </w:t>
      </w:r>
      <w:r w:rsidR="00845F80" w:rsidRPr="007C740F">
        <w:rPr>
          <w:sz w:val="18"/>
        </w:rPr>
        <w:t xml:space="preserve">(Estimates </w:t>
      </w:r>
      <w:r w:rsidR="005D4CD8" w:rsidRPr="007C740F">
        <w:rPr>
          <w:sz w:val="18"/>
        </w:rPr>
        <w:t>for 2010-14</w:t>
      </w:r>
      <w:r w:rsidR="00845F80" w:rsidRPr="007C740F">
        <w:rPr>
          <w:sz w:val="18"/>
        </w:rPr>
        <w:t>)</w:t>
      </w:r>
    </w:p>
    <w:tbl>
      <w:tblPr>
        <w:tblW w:w="7579" w:type="dxa"/>
        <w:jc w:val="center"/>
        <w:tblLook w:val="04A0" w:firstRow="1" w:lastRow="0" w:firstColumn="1" w:lastColumn="0" w:noHBand="0" w:noVBand="1"/>
      </w:tblPr>
      <w:tblGrid>
        <w:gridCol w:w="960"/>
        <w:gridCol w:w="960"/>
        <w:gridCol w:w="980"/>
        <w:gridCol w:w="960"/>
        <w:gridCol w:w="1228"/>
        <w:gridCol w:w="1157"/>
        <w:gridCol w:w="1334"/>
      </w:tblGrid>
      <w:tr w:rsidR="00D819D5" w:rsidRPr="007C740F" w14:paraId="2367A175" w14:textId="77777777" w:rsidTr="00CA7FAE">
        <w:trPr>
          <w:trHeight w:val="284"/>
          <w:jc w:val="center"/>
        </w:trPr>
        <w:tc>
          <w:tcPr>
            <w:tcW w:w="960" w:type="dxa"/>
            <w:vMerge w:val="restart"/>
            <w:tcBorders>
              <w:top w:val="single" w:sz="4" w:space="0" w:color="auto"/>
              <w:left w:val="single" w:sz="4" w:space="0" w:color="auto"/>
              <w:right w:val="nil"/>
            </w:tcBorders>
            <w:shd w:val="clear" w:color="auto" w:fill="auto"/>
            <w:noWrap/>
            <w:vAlign w:val="center"/>
            <w:hideMark/>
          </w:tcPr>
          <w:p w14:paraId="0C773BE0" w14:textId="77777777" w:rsidR="00D819D5" w:rsidRPr="007C740F" w:rsidRDefault="00D819D5" w:rsidP="00CA7FAE">
            <w:pPr>
              <w:keepNext/>
              <w:spacing w:after="0" w:line="240" w:lineRule="auto"/>
              <w:jc w:val="center"/>
              <w:rPr>
                <w:rFonts w:ascii="Times New Roman" w:eastAsia="Times New Roman" w:hAnsi="Times New Roman" w:cs="Times New Roman"/>
                <w:b/>
                <w:sz w:val="24"/>
                <w:szCs w:val="24"/>
                <w:lang w:eastAsia="en-GB"/>
              </w:rPr>
            </w:pPr>
            <w:r w:rsidRPr="007C740F">
              <w:rPr>
                <w:rFonts w:ascii="Calibri" w:eastAsia="Times New Roman" w:hAnsi="Calibri" w:cs="Times New Roman"/>
                <w:b/>
                <w:color w:val="000000"/>
                <w:sz w:val="18"/>
                <w:szCs w:val="18"/>
                <w:lang w:eastAsia="en-GB"/>
              </w:rPr>
              <w:t>WHO Region</w:t>
            </w:r>
          </w:p>
        </w:tc>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5540A8FC"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WPP Av ann births 1,000s</w:t>
            </w:r>
          </w:p>
        </w:tc>
        <w:tc>
          <w:tcPr>
            <w:tcW w:w="432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C9FB69F"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Rate /1,000 births</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DBAE5" w14:textId="77777777" w:rsidR="00D819D5" w:rsidRPr="007C740F" w:rsidRDefault="00D819D5" w:rsidP="00CA7FAE">
            <w:pPr>
              <w:keepNext/>
              <w:spacing w:after="0" w:line="240" w:lineRule="auto"/>
              <w:jc w:val="center"/>
              <w:rPr>
                <w:rFonts w:ascii="Times New Roman" w:eastAsia="Times New Roman" w:hAnsi="Times New Roman" w:cs="Times New Roman"/>
                <w:sz w:val="20"/>
                <w:szCs w:val="20"/>
                <w:lang w:eastAsia="en-GB"/>
              </w:rPr>
            </w:pPr>
            <w:r w:rsidRPr="007C740F">
              <w:rPr>
                <w:rFonts w:ascii="Calibri" w:eastAsia="Times New Roman" w:hAnsi="Calibri" w:cs="Times New Roman"/>
                <w:color w:val="000000"/>
                <w:sz w:val="18"/>
                <w:szCs w:val="18"/>
                <w:lang w:eastAsia="en-GB"/>
              </w:rPr>
              <w:t>Environmental, % of total congenital disorders</w:t>
            </w:r>
          </w:p>
        </w:tc>
      </w:tr>
      <w:tr w:rsidR="00D819D5" w:rsidRPr="007C740F" w14:paraId="22760D4A" w14:textId="77777777" w:rsidTr="00CA7FAE">
        <w:trPr>
          <w:trHeight w:val="284"/>
          <w:jc w:val="center"/>
        </w:trPr>
        <w:tc>
          <w:tcPr>
            <w:tcW w:w="960" w:type="dxa"/>
            <w:vMerge/>
            <w:tcBorders>
              <w:left w:val="single" w:sz="4" w:space="0" w:color="auto"/>
              <w:bottom w:val="single" w:sz="4" w:space="0" w:color="auto"/>
              <w:right w:val="nil"/>
            </w:tcBorders>
            <w:shd w:val="clear" w:color="auto" w:fill="auto"/>
            <w:vAlign w:val="center"/>
            <w:hideMark/>
          </w:tcPr>
          <w:p w14:paraId="59A9DD2B"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p>
        </w:tc>
        <w:tc>
          <w:tcPr>
            <w:tcW w:w="960" w:type="dxa"/>
            <w:vMerge/>
            <w:tcBorders>
              <w:left w:val="single" w:sz="4" w:space="0" w:color="auto"/>
              <w:bottom w:val="single" w:sz="4" w:space="0" w:color="auto"/>
              <w:right w:val="single" w:sz="4" w:space="0" w:color="auto"/>
            </w:tcBorders>
            <w:shd w:val="clear" w:color="auto" w:fill="auto"/>
            <w:vAlign w:val="center"/>
            <w:hideMark/>
          </w:tcPr>
          <w:p w14:paraId="6496A864"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p>
        </w:tc>
        <w:tc>
          <w:tcPr>
            <w:tcW w:w="980" w:type="dxa"/>
            <w:tcBorders>
              <w:top w:val="single" w:sz="4" w:space="0" w:color="auto"/>
              <w:left w:val="nil"/>
              <w:bottom w:val="single" w:sz="4" w:space="0" w:color="auto"/>
              <w:right w:val="nil"/>
            </w:tcBorders>
            <w:shd w:val="clear" w:color="auto" w:fill="auto"/>
            <w:vAlign w:val="center"/>
            <w:hideMark/>
          </w:tcPr>
          <w:p w14:paraId="02C6E224"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 xml:space="preserve">"Baseline" congenital infections </w:t>
            </w:r>
          </w:p>
        </w:tc>
        <w:tc>
          <w:tcPr>
            <w:tcW w:w="960" w:type="dxa"/>
            <w:tcBorders>
              <w:top w:val="single" w:sz="4" w:space="0" w:color="auto"/>
              <w:left w:val="nil"/>
              <w:bottom w:val="single" w:sz="4" w:space="0" w:color="auto"/>
              <w:right w:val="nil"/>
            </w:tcBorders>
            <w:shd w:val="clear" w:color="000000" w:fill="D9D9D9"/>
            <w:vAlign w:val="center"/>
            <w:hideMark/>
          </w:tcPr>
          <w:p w14:paraId="22DE4271"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Est. total environ-mental disorders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A7D8"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Baseline</w:t>
            </w:r>
            <w:r w:rsidR="00871319" w:rsidRPr="007C740F">
              <w:rPr>
                <w:rFonts w:ascii="Calibri" w:eastAsia="Times New Roman" w:hAnsi="Calibri" w:cs="Times New Roman"/>
                <w:color w:val="000000"/>
                <w:sz w:val="18"/>
                <w:szCs w:val="18"/>
                <w:lang w:eastAsia="en-GB"/>
              </w:rPr>
              <w:t xml:space="preserve"> endogenous</w:t>
            </w:r>
            <w:r w:rsidRPr="007C740F">
              <w:rPr>
                <w:rFonts w:ascii="Calibri" w:eastAsia="Times New Roman" w:hAnsi="Calibri" w:cs="Times New Roman"/>
                <w:color w:val="000000"/>
                <w:sz w:val="18"/>
                <w:szCs w:val="18"/>
                <w:lang w:eastAsia="en-GB"/>
              </w:rPr>
              <w:t xml:space="preserve"> congenital disorders</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EDC31"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Total "baseline" congenital disorders</w:t>
            </w:r>
          </w:p>
        </w:tc>
        <w:tc>
          <w:tcPr>
            <w:tcW w:w="1334" w:type="dxa"/>
            <w:vMerge/>
            <w:tcBorders>
              <w:left w:val="single" w:sz="4" w:space="0" w:color="auto"/>
              <w:bottom w:val="single" w:sz="4" w:space="0" w:color="auto"/>
              <w:right w:val="single" w:sz="4" w:space="0" w:color="auto"/>
            </w:tcBorders>
            <w:shd w:val="clear" w:color="auto" w:fill="auto"/>
            <w:vAlign w:val="center"/>
            <w:hideMark/>
          </w:tcPr>
          <w:p w14:paraId="2DB20BA9" w14:textId="77777777" w:rsidR="00D819D5" w:rsidRPr="007C740F" w:rsidRDefault="00D819D5" w:rsidP="00CA7FAE">
            <w:pPr>
              <w:keepNext/>
              <w:spacing w:after="0" w:line="240" w:lineRule="auto"/>
              <w:jc w:val="center"/>
              <w:rPr>
                <w:rFonts w:ascii="Calibri" w:eastAsia="Times New Roman" w:hAnsi="Calibri" w:cs="Times New Roman"/>
                <w:color w:val="000000"/>
                <w:sz w:val="18"/>
                <w:szCs w:val="18"/>
                <w:lang w:eastAsia="en-GB"/>
              </w:rPr>
            </w:pPr>
          </w:p>
        </w:tc>
      </w:tr>
      <w:tr w:rsidR="00CA7FAE" w:rsidRPr="007C740F" w14:paraId="26AC7BA8"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25E8A0E2"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AFR</w:t>
            </w:r>
          </w:p>
        </w:tc>
        <w:tc>
          <w:tcPr>
            <w:tcW w:w="960" w:type="dxa"/>
            <w:tcBorders>
              <w:top w:val="nil"/>
              <w:left w:val="single" w:sz="4" w:space="0" w:color="auto"/>
              <w:bottom w:val="nil"/>
              <w:right w:val="single" w:sz="4" w:space="0" w:color="auto"/>
            </w:tcBorders>
            <w:shd w:val="clear" w:color="auto" w:fill="auto"/>
            <w:noWrap/>
            <w:vAlign w:val="center"/>
            <w:hideMark/>
          </w:tcPr>
          <w:p w14:paraId="6870BF23"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34,647</w:t>
            </w:r>
          </w:p>
        </w:tc>
        <w:tc>
          <w:tcPr>
            <w:tcW w:w="980" w:type="dxa"/>
            <w:tcBorders>
              <w:top w:val="nil"/>
              <w:left w:val="nil"/>
              <w:bottom w:val="nil"/>
              <w:right w:val="nil"/>
            </w:tcBorders>
            <w:shd w:val="clear" w:color="auto" w:fill="auto"/>
            <w:vAlign w:val="center"/>
            <w:hideMark/>
          </w:tcPr>
          <w:p w14:paraId="48619507"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12.6</w:t>
            </w:r>
          </w:p>
        </w:tc>
        <w:tc>
          <w:tcPr>
            <w:tcW w:w="960" w:type="dxa"/>
            <w:tcBorders>
              <w:top w:val="nil"/>
              <w:left w:val="nil"/>
              <w:bottom w:val="nil"/>
              <w:right w:val="nil"/>
            </w:tcBorders>
            <w:shd w:val="clear" w:color="000000" w:fill="D9D9D9"/>
            <w:noWrap/>
            <w:vAlign w:val="center"/>
            <w:hideMark/>
          </w:tcPr>
          <w:p w14:paraId="629F1C49"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25.2</w:t>
            </w:r>
          </w:p>
        </w:tc>
        <w:tc>
          <w:tcPr>
            <w:tcW w:w="1228" w:type="dxa"/>
            <w:tcBorders>
              <w:top w:val="nil"/>
              <w:left w:val="single" w:sz="4" w:space="0" w:color="auto"/>
              <w:bottom w:val="nil"/>
              <w:right w:val="single" w:sz="4" w:space="0" w:color="auto"/>
            </w:tcBorders>
            <w:shd w:val="clear" w:color="auto" w:fill="auto"/>
            <w:vAlign w:val="center"/>
            <w:hideMark/>
          </w:tcPr>
          <w:p w14:paraId="0D0D0832"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46.3</w:t>
            </w:r>
          </w:p>
        </w:tc>
        <w:tc>
          <w:tcPr>
            <w:tcW w:w="1157" w:type="dxa"/>
            <w:tcBorders>
              <w:top w:val="nil"/>
              <w:left w:val="single" w:sz="4" w:space="0" w:color="auto"/>
              <w:bottom w:val="nil"/>
              <w:right w:val="nil"/>
            </w:tcBorders>
            <w:shd w:val="clear" w:color="auto" w:fill="auto"/>
            <w:noWrap/>
            <w:vAlign w:val="center"/>
            <w:hideMark/>
          </w:tcPr>
          <w:p w14:paraId="48001A50"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71.5</w:t>
            </w:r>
          </w:p>
        </w:tc>
        <w:tc>
          <w:tcPr>
            <w:tcW w:w="1334" w:type="dxa"/>
            <w:tcBorders>
              <w:top w:val="nil"/>
              <w:left w:val="single" w:sz="4" w:space="0" w:color="auto"/>
              <w:bottom w:val="nil"/>
              <w:right w:val="single" w:sz="4" w:space="0" w:color="auto"/>
            </w:tcBorders>
            <w:shd w:val="clear" w:color="auto" w:fill="auto"/>
            <w:noWrap/>
            <w:vAlign w:val="center"/>
            <w:hideMark/>
          </w:tcPr>
          <w:p w14:paraId="46FE5916"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35</w:t>
            </w:r>
          </w:p>
        </w:tc>
      </w:tr>
      <w:tr w:rsidR="00CA7FAE" w:rsidRPr="007C740F" w14:paraId="53329C3B"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4210ADA1"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AMR</w:t>
            </w:r>
          </w:p>
        </w:tc>
        <w:tc>
          <w:tcPr>
            <w:tcW w:w="960" w:type="dxa"/>
            <w:tcBorders>
              <w:top w:val="nil"/>
              <w:left w:val="single" w:sz="4" w:space="0" w:color="auto"/>
              <w:bottom w:val="nil"/>
              <w:right w:val="single" w:sz="4" w:space="0" w:color="auto"/>
            </w:tcBorders>
            <w:shd w:val="clear" w:color="auto" w:fill="auto"/>
            <w:noWrap/>
            <w:vAlign w:val="center"/>
            <w:hideMark/>
          </w:tcPr>
          <w:p w14:paraId="14E1CBEA"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15,319</w:t>
            </w:r>
          </w:p>
        </w:tc>
        <w:tc>
          <w:tcPr>
            <w:tcW w:w="980" w:type="dxa"/>
            <w:tcBorders>
              <w:top w:val="nil"/>
              <w:left w:val="nil"/>
              <w:bottom w:val="nil"/>
              <w:right w:val="nil"/>
            </w:tcBorders>
            <w:shd w:val="clear" w:color="auto" w:fill="auto"/>
            <w:vAlign w:val="center"/>
            <w:hideMark/>
          </w:tcPr>
          <w:p w14:paraId="35587BFE"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4.1</w:t>
            </w:r>
          </w:p>
        </w:tc>
        <w:tc>
          <w:tcPr>
            <w:tcW w:w="960" w:type="dxa"/>
            <w:tcBorders>
              <w:top w:val="nil"/>
              <w:left w:val="nil"/>
              <w:bottom w:val="nil"/>
              <w:right w:val="nil"/>
            </w:tcBorders>
            <w:shd w:val="clear" w:color="000000" w:fill="D9D9D9"/>
            <w:noWrap/>
            <w:vAlign w:val="center"/>
            <w:hideMark/>
          </w:tcPr>
          <w:p w14:paraId="1E998AA7"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8.2</w:t>
            </w:r>
          </w:p>
        </w:tc>
        <w:tc>
          <w:tcPr>
            <w:tcW w:w="1228" w:type="dxa"/>
            <w:tcBorders>
              <w:top w:val="nil"/>
              <w:left w:val="single" w:sz="4" w:space="0" w:color="auto"/>
              <w:bottom w:val="nil"/>
              <w:right w:val="single" w:sz="4" w:space="0" w:color="auto"/>
            </w:tcBorders>
            <w:shd w:val="clear" w:color="auto" w:fill="auto"/>
            <w:vAlign w:val="center"/>
            <w:hideMark/>
          </w:tcPr>
          <w:p w14:paraId="0368F82C"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34.5</w:t>
            </w:r>
          </w:p>
        </w:tc>
        <w:tc>
          <w:tcPr>
            <w:tcW w:w="1157" w:type="dxa"/>
            <w:tcBorders>
              <w:top w:val="nil"/>
              <w:left w:val="single" w:sz="4" w:space="0" w:color="auto"/>
              <w:bottom w:val="nil"/>
              <w:right w:val="nil"/>
            </w:tcBorders>
            <w:shd w:val="clear" w:color="auto" w:fill="auto"/>
            <w:noWrap/>
            <w:vAlign w:val="center"/>
            <w:hideMark/>
          </w:tcPr>
          <w:p w14:paraId="6D0558BE"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42.7</w:t>
            </w:r>
          </w:p>
        </w:tc>
        <w:tc>
          <w:tcPr>
            <w:tcW w:w="1334" w:type="dxa"/>
            <w:tcBorders>
              <w:top w:val="nil"/>
              <w:left w:val="single" w:sz="4" w:space="0" w:color="auto"/>
              <w:bottom w:val="nil"/>
              <w:right w:val="single" w:sz="4" w:space="0" w:color="auto"/>
            </w:tcBorders>
            <w:shd w:val="clear" w:color="auto" w:fill="auto"/>
            <w:noWrap/>
            <w:vAlign w:val="center"/>
            <w:hideMark/>
          </w:tcPr>
          <w:p w14:paraId="012A6A09"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19</w:t>
            </w:r>
          </w:p>
        </w:tc>
      </w:tr>
      <w:tr w:rsidR="00CA7FAE" w:rsidRPr="007C740F" w14:paraId="5B671DC9"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57A06FC8"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EMR</w:t>
            </w:r>
          </w:p>
        </w:tc>
        <w:tc>
          <w:tcPr>
            <w:tcW w:w="960" w:type="dxa"/>
            <w:tcBorders>
              <w:top w:val="nil"/>
              <w:left w:val="single" w:sz="4" w:space="0" w:color="auto"/>
              <w:bottom w:val="nil"/>
              <w:right w:val="single" w:sz="4" w:space="0" w:color="auto"/>
            </w:tcBorders>
            <w:shd w:val="clear" w:color="auto" w:fill="auto"/>
            <w:noWrap/>
            <w:vAlign w:val="center"/>
            <w:hideMark/>
          </w:tcPr>
          <w:p w14:paraId="40ED239F"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16,906</w:t>
            </w:r>
          </w:p>
        </w:tc>
        <w:tc>
          <w:tcPr>
            <w:tcW w:w="980" w:type="dxa"/>
            <w:tcBorders>
              <w:top w:val="nil"/>
              <w:left w:val="nil"/>
              <w:bottom w:val="nil"/>
              <w:right w:val="nil"/>
            </w:tcBorders>
            <w:shd w:val="clear" w:color="auto" w:fill="auto"/>
            <w:vAlign w:val="center"/>
            <w:hideMark/>
          </w:tcPr>
          <w:p w14:paraId="647C6E0A"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3.3</w:t>
            </w:r>
          </w:p>
        </w:tc>
        <w:tc>
          <w:tcPr>
            <w:tcW w:w="960" w:type="dxa"/>
            <w:tcBorders>
              <w:top w:val="nil"/>
              <w:left w:val="nil"/>
              <w:bottom w:val="nil"/>
              <w:right w:val="nil"/>
            </w:tcBorders>
            <w:shd w:val="clear" w:color="000000" w:fill="D9D9D9"/>
            <w:noWrap/>
            <w:vAlign w:val="center"/>
            <w:hideMark/>
          </w:tcPr>
          <w:p w14:paraId="14966953"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6.7</w:t>
            </w:r>
          </w:p>
        </w:tc>
        <w:tc>
          <w:tcPr>
            <w:tcW w:w="1228" w:type="dxa"/>
            <w:tcBorders>
              <w:top w:val="nil"/>
              <w:left w:val="single" w:sz="4" w:space="0" w:color="auto"/>
              <w:bottom w:val="nil"/>
              <w:right w:val="single" w:sz="4" w:space="0" w:color="auto"/>
            </w:tcBorders>
            <w:shd w:val="clear" w:color="auto" w:fill="auto"/>
            <w:vAlign w:val="center"/>
            <w:hideMark/>
          </w:tcPr>
          <w:p w14:paraId="69535A02"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52</w:t>
            </w:r>
          </w:p>
        </w:tc>
        <w:tc>
          <w:tcPr>
            <w:tcW w:w="1157" w:type="dxa"/>
            <w:tcBorders>
              <w:top w:val="nil"/>
              <w:left w:val="single" w:sz="4" w:space="0" w:color="auto"/>
              <w:bottom w:val="nil"/>
              <w:right w:val="nil"/>
            </w:tcBorders>
            <w:shd w:val="clear" w:color="auto" w:fill="auto"/>
            <w:noWrap/>
            <w:vAlign w:val="center"/>
            <w:hideMark/>
          </w:tcPr>
          <w:p w14:paraId="3DB0FC28"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58.7</w:t>
            </w:r>
          </w:p>
        </w:tc>
        <w:tc>
          <w:tcPr>
            <w:tcW w:w="1334" w:type="dxa"/>
            <w:tcBorders>
              <w:top w:val="nil"/>
              <w:left w:val="single" w:sz="4" w:space="0" w:color="auto"/>
              <w:bottom w:val="nil"/>
              <w:right w:val="single" w:sz="4" w:space="0" w:color="auto"/>
            </w:tcBorders>
            <w:shd w:val="clear" w:color="auto" w:fill="auto"/>
            <w:noWrap/>
            <w:vAlign w:val="center"/>
            <w:hideMark/>
          </w:tcPr>
          <w:p w14:paraId="49C666EB"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11</w:t>
            </w:r>
          </w:p>
        </w:tc>
      </w:tr>
      <w:tr w:rsidR="00CA7FAE" w:rsidRPr="007C740F" w14:paraId="011BE74E"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1DEE8EC0"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EUR</w:t>
            </w:r>
          </w:p>
        </w:tc>
        <w:tc>
          <w:tcPr>
            <w:tcW w:w="960" w:type="dxa"/>
            <w:tcBorders>
              <w:top w:val="nil"/>
              <w:left w:val="single" w:sz="4" w:space="0" w:color="auto"/>
              <w:bottom w:val="nil"/>
              <w:right w:val="single" w:sz="4" w:space="0" w:color="auto"/>
            </w:tcBorders>
            <w:shd w:val="clear" w:color="auto" w:fill="auto"/>
            <w:noWrap/>
            <w:vAlign w:val="center"/>
            <w:hideMark/>
          </w:tcPr>
          <w:p w14:paraId="63E71059"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11,296</w:t>
            </w:r>
          </w:p>
        </w:tc>
        <w:tc>
          <w:tcPr>
            <w:tcW w:w="980" w:type="dxa"/>
            <w:tcBorders>
              <w:top w:val="nil"/>
              <w:left w:val="nil"/>
              <w:bottom w:val="nil"/>
              <w:right w:val="nil"/>
            </w:tcBorders>
            <w:shd w:val="clear" w:color="auto" w:fill="auto"/>
            <w:vAlign w:val="center"/>
            <w:hideMark/>
          </w:tcPr>
          <w:p w14:paraId="326B13CE"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2.3</w:t>
            </w:r>
          </w:p>
        </w:tc>
        <w:tc>
          <w:tcPr>
            <w:tcW w:w="960" w:type="dxa"/>
            <w:tcBorders>
              <w:top w:val="nil"/>
              <w:left w:val="nil"/>
              <w:bottom w:val="nil"/>
              <w:right w:val="nil"/>
            </w:tcBorders>
            <w:shd w:val="clear" w:color="000000" w:fill="D9D9D9"/>
            <w:noWrap/>
            <w:vAlign w:val="center"/>
            <w:hideMark/>
          </w:tcPr>
          <w:p w14:paraId="50E387C6"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4.6</w:t>
            </w:r>
          </w:p>
        </w:tc>
        <w:tc>
          <w:tcPr>
            <w:tcW w:w="1228" w:type="dxa"/>
            <w:tcBorders>
              <w:top w:val="nil"/>
              <w:left w:val="single" w:sz="4" w:space="0" w:color="auto"/>
              <w:bottom w:val="nil"/>
              <w:right w:val="single" w:sz="4" w:space="0" w:color="auto"/>
            </w:tcBorders>
            <w:shd w:val="clear" w:color="auto" w:fill="auto"/>
            <w:vAlign w:val="center"/>
            <w:hideMark/>
          </w:tcPr>
          <w:p w14:paraId="43DC8AC6"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35.8</w:t>
            </w:r>
          </w:p>
        </w:tc>
        <w:tc>
          <w:tcPr>
            <w:tcW w:w="1157" w:type="dxa"/>
            <w:tcBorders>
              <w:top w:val="nil"/>
              <w:left w:val="single" w:sz="4" w:space="0" w:color="auto"/>
              <w:bottom w:val="nil"/>
              <w:right w:val="nil"/>
            </w:tcBorders>
            <w:shd w:val="clear" w:color="auto" w:fill="auto"/>
            <w:noWrap/>
            <w:vAlign w:val="center"/>
            <w:hideMark/>
          </w:tcPr>
          <w:p w14:paraId="7EC4B195"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40.4</w:t>
            </w:r>
          </w:p>
        </w:tc>
        <w:tc>
          <w:tcPr>
            <w:tcW w:w="1334" w:type="dxa"/>
            <w:tcBorders>
              <w:top w:val="nil"/>
              <w:left w:val="single" w:sz="4" w:space="0" w:color="auto"/>
              <w:bottom w:val="nil"/>
              <w:right w:val="single" w:sz="4" w:space="0" w:color="auto"/>
            </w:tcBorders>
            <w:shd w:val="clear" w:color="auto" w:fill="auto"/>
            <w:noWrap/>
            <w:vAlign w:val="center"/>
            <w:hideMark/>
          </w:tcPr>
          <w:p w14:paraId="5ADD914C"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11</w:t>
            </w:r>
          </w:p>
        </w:tc>
      </w:tr>
      <w:tr w:rsidR="00CA7FAE" w:rsidRPr="007C740F" w14:paraId="726EA795"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268554E2"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SEAR</w:t>
            </w:r>
          </w:p>
        </w:tc>
        <w:tc>
          <w:tcPr>
            <w:tcW w:w="960" w:type="dxa"/>
            <w:tcBorders>
              <w:top w:val="nil"/>
              <w:left w:val="single" w:sz="4" w:space="0" w:color="auto"/>
              <w:bottom w:val="nil"/>
              <w:right w:val="single" w:sz="4" w:space="0" w:color="auto"/>
            </w:tcBorders>
            <w:shd w:val="clear" w:color="auto" w:fill="auto"/>
            <w:noWrap/>
            <w:vAlign w:val="center"/>
            <w:hideMark/>
          </w:tcPr>
          <w:p w14:paraId="641628C2"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37,304</w:t>
            </w:r>
          </w:p>
        </w:tc>
        <w:tc>
          <w:tcPr>
            <w:tcW w:w="980" w:type="dxa"/>
            <w:tcBorders>
              <w:top w:val="nil"/>
              <w:left w:val="nil"/>
              <w:bottom w:val="nil"/>
              <w:right w:val="nil"/>
            </w:tcBorders>
            <w:shd w:val="clear" w:color="auto" w:fill="auto"/>
            <w:vAlign w:val="center"/>
            <w:hideMark/>
          </w:tcPr>
          <w:p w14:paraId="41268AD5"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9.4</w:t>
            </w:r>
          </w:p>
        </w:tc>
        <w:tc>
          <w:tcPr>
            <w:tcW w:w="960" w:type="dxa"/>
            <w:tcBorders>
              <w:top w:val="nil"/>
              <w:left w:val="nil"/>
              <w:bottom w:val="nil"/>
              <w:right w:val="nil"/>
            </w:tcBorders>
            <w:shd w:val="clear" w:color="000000" w:fill="D9D9D9"/>
            <w:noWrap/>
            <w:vAlign w:val="center"/>
            <w:hideMark/>
          </w:tcPr>
          <w:p w14:paraId="7EA8E232"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18.7</w:t>
            </w:r>
          </w:p>
        </w:tc>
        <w:tc>
          <w:tcPr>
            <w:tcW w:w="1228" w:type="dxa"/>
            <w:tcBorders>
              <w:top w:val="nil"/>
              <w:left w:val="single" w:sz="4" w:space="0" w:color="auto"/>
              <w:bottom w:val="nil"/>
              <w:right w:val="single" w:sz="4" w:space="0" w:color="auto"/>
            </w:tcBorders>
            <w:shd w:val="clear" w:color="auto" w:fill="auto"/>
            <w:vAlign w:val="center"/>
            <w:hideMark/>
          </w:tcPr>
          <w:p w14:paraId="2FFA89AF"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37.8</w:t>
            </w:r>
          </w:p>
        </w:tc>
        <w:tc>
          <w:tcPr>
            <w:tcW w:w="1157" w:type="dxa"/>
            <w:tcBorders>
              <w:top w:val="nil"/>
              <w:left w:val="single" w:sz="4" w:space="0" w:color="auto"/>
              <w:bottom w:val="nil"/>
              <w:right w:val="nil"/>
            </w:tcBorders>
            <w:shd w:val="clear" w:color="auto" w:fill="auto"/>
            <w:noWrap/>
            <w:vAlign w:val="center"/>
            <w:hideMark/>
          </w:tcPr>
          <w:p w14:paraId="3980B93E"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56.5</w:t>
            </w:r>
          </w:p>
        </w:tc>
        <w:tc>
          <w:tcPr>
            <w:tcW w:w="1334" w:type="dxa"/>
            <w:tcBorders>
              <w:top w:val="nil"/>
              <w:left w:val="single" w:sz="4" w:space="0" w:color="auto"/>
              <w:bottom w:val="nil"/>
              <w:right w:val="single" w:sz="4" w:space="0" w:color="auto"/>
            </w:tcBorders>
            <w:shd w:val="clear" w:color="auto" w:fill="auto"/>
            <w:noWrap/>
            <w:vAlign w:val="center"/>
            <w:hideMark/>
          </w:tcPr>
          <w:p w14:paraId="1A4F61FB"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33</w:t>
            </w:r>
          </w:p>
        </w:tc>
      </w:tr>
      <w:tr w:rsidR="00CA7FAE" w:rsidRPr="007C740F" w14:paraId="516809C2" w14:textId="77777777" w:rsidTr="00850B38">
        <w:trPr>
          <w:trHeight w:val="284"/>
          <w:jc w:val="center"/>
        </w:trPr>
        <w:tc>
          <w:tcPr>
            <w:tcW w:w="960" w:type="dxa"/>
            <w:tcBorders>
              <w:top w:val="nil"/>
              <w:left w:val="single" w:sz="4" w:space="0" w:color="auto"/>
              <w:bottom w:val="nil"/>
              <w:right w:val="nil"/>
            </w:tcBorders>
            <w:shd w:val="clear" w:color="auto" w:fill="auto"/>
            <w:noWrap/>
            <w:vAlign w:val="center"/>
            <w:hideMark/>
          </w:tcPr>
          <w:p w14:paraId="1A1FF152"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WPR</w:t>
            </w:r>
          </w:p>
        </w:tc>
        <w:tc>
          <w:tcPr>
            <w:tcW w:w="960" w:type="dxa"/>
            <w:tcBorders>
              <w:top w:val="nil"/>
              <w:left w:val="single" w:sz="4" w:space="0" w:color="auto"/>
              <w:bottom w:val="nil"/>
              <w:right w:val="single" w:sz="4" w:space="0" w:color="auto"/>
            </w:tcBorders>
            <w:shd w:val="clear" w:color="auto" w:fill="auto"/>
            <w:noWrap/>
            <w:vAlign w:val="center"/>
            <w:hideMark/>
          </w:tcPr>
          <w:p w14:paraId="5679A9BC"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24,368</w:t>
            </w:r>
          </w:p>
        </w:tc>
        <w:tc>
          <w:tcPr>
            <w:tcW w:w="980" w:type="dxa"/>
            <w:tcBorders>
              <w:top w:val="nil"/>
              <w:left w:val="nil"/>
              <w:bottom w:val="nil"/>
              <w:right w:val="nil"/>
            </w:tcBorders>
            <w:shd w:val="clear" w:color="auto" w:fill="auto"/>
            <w:vAlign w:val="center"/>
            <w:hideMark/>
          </w:tcPr>
          <w:p w14:paraId="14716E10"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3.1</w:t>
            </w:r>
          </w:p>
        </w:tc>
        <w:tc>
          <w:tcPr>
            <w:tcW w:w="960" w:type="dxa"/>
            <w:tcBorders>
              <w:top w:val="nil"/>
              <w:left w:val="nil"/>
              <w:bottom w:val="nil"/>
              <w:right w:val="nil"/>
            </w:tcBorders>
            <w:shd w:val="clear" w:color="000000" w:fill="D9D9D9"/>
            <w:noWrap/>
            <w:vAlign w:val="center"/>
            <w:hideMark/>
          </w:tcPr>
          <w:p w14:paraId="5E980A57"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6.2</w:t>
            </w:r>
          </w:p>
        </w:tc>
        <w:tc>
          <w:tcPr>
            <w:tcW w:w="1228" w:type="dxa"/>
            <w:tcBorders>
              <w:top w:val="nil"/>
              <w:left w:val="single" w:sz="4" w:space="0" w:color="auto"/>
              <w:bottom w:val="nil"/>
              <w:right w:val="single" w:sz="4" w:space="0" w:color="auto"/>
            </w:tcBorders>
            <w:shd w:val="clear" w:color="auto" w:fill="auto"/>
            <w:vAlign w:val="center"/>
            <w:hideMark/>
          </w:tcPr>
          <w:p w14:paraId="09D1A418"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31.4</w:t>
            </w:r>
          </w:p>
        </w:tc>
        <w:tc>
          <w:tcPr>
            <w:tcW w:w="1157" w:type="dxa"/>
            <w:tcBorders>
              <w:top w:val="nil"/>
              <w:left w:val="single" w:sz="4" w:space="0" w:color="auto"/>
              <w:bottom w:val="nil"/>
              <w:right w:val="nil"/>
            </w:tcBorders>
            <w:shd w:val="clear" w:color="auto" w:fill="auto"/>
            <w:noWrap/>
            <w:vAlign w:val="center"/>
            <w:hideMark/>
          </w:tcPr>
          <w:p w14:paraId="4A90E331"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37.6</w:t>
            </w:r>
          </w:p>
        </w:tc>
        <w:tc>
          <w:tcPr>
            <w:tcW w:w="1334" w:type="dxa"/>
            <w:tcBorders>
              <w:top w:val="nil"/>
              <w:left w:val="single" w:sz="4" w:space="0" w:color="auto"/>
              <w:bottom w:val="nil"/>
              <w:right w:val="single" w:sz="4" w:space="0" w:color="auto"/>
            </w:tcBorders>
            <w:shd w:val="clear" w:color="auto" w:fill="auto"/>
            <w:noWrap/>
            <w:vAlign w:val="center"/>
            <w:hideMark/>
          </w:tcPr>
          <w:p w14:paraId="3368AAAA"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16</w:t>
            </w:r>
          </w:p>
        </w:tc>
      </w:tr>
      <w:tr w:rsidR="00CA7FAE" w:rsidRPr="007C740F" w14:paraId="7294B497" w14:textId="77777777" w:rsidTr="00850B38">
        <w:trPr>
          <w:trHeight w:val="284"/>
          <w:jc w:val="center"/>
        </w:trPr>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1F4B34B1" w14:textId="77777777" w:rsidR="00CA7FAE" w:rsidRPr="007C740F" w:rsidRDefault="00CA7FAE" w:rsidP="00CA7FAE">
            <w:pPr>
              <w:keepNext/>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World</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3311C48"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139,840</w:t>
            </w:r>
          </w:p>
        </w:tc>
        <w:tc>
          <w:tcPr>
            <w:tcW w:w="980" w:type="dxa"/>
            <w:tcBorders>
              <w:top w:val="single" w:sz="4" w:space="0" w:color="auto"/>
              <w:left w:val="nil"/>
              <w:bottom w:val="double" w:sz="6" w:space="0" w:color="auto"/>
              <w:right w:val="nil"/>
            </w:tcBorders>
            <w:shd w:val="clear" w:color="auto" w:fill="auto"/>
            <w:vAlign w:val="center"/>
            <w:hideMark/>
          </w:tcPr>
          <w:p w14:paraId="2E16AF8E"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7.2</w:t>
            </w:r>
          </w:p>
        </w:tc>
        <w:tc>
          <w:tcPr>
            <w:tcW w:w="960" w:type="dxa"/>
            <w:tcBorders>
              <w:top w:val="single" w:sz="4" w:space="0" w:color="auto"/>
              <w:left w:val="nil"/>
              <w:bottom w:val="double" w:sz="6" w:space="0" w:color="auto"/>
              <w:right w:val="nil"/>
            </w:tcBorders>
            <w:shd w:val="clear" w:color="000000" w:fill="D9D9D9"/>
            <w:noWrap/>
            <w:vAlign w:val="center"/>
            <w:hideMark/>
          </w:tcPr>
          <w:p w14:paraId="3759934F" w14:textId="77777777" w:rsidR="00CA7FAE" w:rsidRPr="007C740F" w:rsidRDefault="00CA7FAE" w:rsidP="00CA7FAE">
            <w:pPr>
              <w:keepNext/>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14.4</w:t>
            </w:r>
          </w:p>
        </w:tc>
        <w:tc>
          <w:tcPr>
            <w:tcW w:w="1228"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02750470"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40</w:t>
            </w:r>
          </w:p>
        </w:tc>
        <w:tc>
          <w:tcPr>
            <w:tcW w:w="1157" w:type="dxa"/>
            <w:tcBorders>
              <w:top w:val="single" w:sz="4" w:space="0" w:color="auto"/>
              <w:left w:val="single" w:sz="4" w:space="0" w:color="auto"/>
              <w:bottom w:val="double" w:sz="6" w:space="0" w:color="auto"/>
              <w:right w:val="nil"/>
            </w:tcBorders>
            <w:shd w:val="clear" w:color="auto" w:fill="auto"/>
            <w:noWrap/>
            <w:vAlign w:val="center"/>
            <w:hideMark/>
          </w:tcPr>
          <w:p w14:paraId="5E37DBC8"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54.4</w:t>
            </w:r>
          </w:p>
        </w:tc>
        <w:tc>
          <w:tcPr>
            <w:tcW w:w="133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F7701C"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26</w:t>
            </w:r>
          </w:p>
        </w:tc>
      </w:tr>
      <w:tr w:rsidR="00CA7FAE" w:rsidRPr="007C740F" w14:paraId="456A6C7B" w14:textId="77777777" w:rsidTr="00850B38">
        <w:trPr>
          <w:trHeight w:val="284"/>
          <w:jc w:val="center"/>
        </w:trPr>
        <w:tc>
          <w:tcPr>
            <w:tcW w:w="960" w:type="dxa"/>
            <w:tcBorders>
              <w:top w:val="nil"/>
              <w:left w:val="single" w:sz="4" w:space="0" w:color="auto"/>
              <w:bottom w:val="single" w:sz="4" w:space="0" w:color="auto"/>
              <w:right w:val="nil"/>
            </w:tcBorders>
            <w:shd w:val="clear" w:color="auto" w:fill="auto"/>
            <w:noWrap/>
            <w:vAlign w:val="center"/>
            <w:hideMark/>
          </w:tcPr>
          <w:p w14:paraId="4DE0FD90" w14:textId="77777777" w:rsidR="00CA7FAE" w:rsidRPr="007C740F" w:rsidRDefault="00CA7FAE" w:rsidP="00CA7FAE">
            <w:pPr>
              <w:spacing w:after="0" w:line="240" w:lineRule="auto"/>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W Europe</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6C6F21" w14:textId="77777777" w:rsidR="00CA7FAE" w:rsidRPr="007C740F" w:rsidRDefault="00CA7FAE" w:rsidP="00CA7FAE">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4,424</w:t>
            </w:r>
          </w:p>
        </w:tc>
        <w:tc>
          <w:tcPr>
            <w:tcW w:w="980" w:type="dxa"/>
            <w:tcBorders>
              <w:top w:val="nil"/>
              <w:left w:val="nil"/>
              <w:bottom w:val="single" w:sz="4" w:space="0" w:color="auto"/>
              <w:right w:val="nil"/>
            </w:tcBorders>
            <w:shd w:val="clear" w:color="auto" w:fill="auto"/>
            <w:vAlign w:val="center"/>
            <w:hideMark/>
          </w:tcPr>
          <w:p w14:paraId="19F01B75" w14:textId="77777777" w:rsidR="00CA7FAE" w:rsidRPr="007C740F" w:rsidRDefault="00CA7FAE" w:rsidP="00CA7FAE">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1.9</w:t>
            </w:r>
          </w:p>
        </w:tc>
        <w:tc>
          <w:tcPr>
            <w:tcW w:w="960" w:type="dxa"/>
            <w:tcBorders>
              <w:top w:val="nil"/>
              <w:left w:val="nil"/>
              <w:bottom w:val="single" w:sz="4" w:space="0" w:color="auto"/>
              <w:right w:val="nil"/>
            </w:tcBorders>
            <w:shd w:val="clear" w:color="000000" w:fill="D9D9D9"/>
            <w:noWrap/>
            <w:vAlign w:val="center"/>
            <w:hideMark/>
          </w:tcPr>
          <w:p w14:paraId="2B5A2282" w14:textId="77777777" w:rsidR="00CA7FAE" w:rsidRPr="007C740F" w:rsidRDefault="00CA7FAE" w:rsidP="00CA7FAE">
            <w:pPr>
              <w:spacing w:after="0" w:line="240" w:lineRule="auto"/>
              <w:jc w:val="center"/>
              <w:rPr>
                <w:rFonts w:ascii="Calibri" w:eastAsia="Times New Roman" w:hAnsi="Calibri" w:cs="Times New Roman"/>
                <w:color w:val="000000"/>
                <w:sz w:val="18"/>
                <w:szCs w:val="18"/>
                <w:lang w:eastAsia="en-GB"/>
              </w:rPr>
            </w:pPr>
            <w:r w:rsidRPr="007C740F">
              <w:rPr>
                <w:rFonts w:ascii="Calibri" w:eastAsia="Times New Roman" w:hAnsi="Calibri" w:cs="Times New Roman"/>
                <w:color w:val="000000"/>
                <w:sz w:val="18"/>
                <w:szCs w:val="18"/>
                <w:lang w:eastAsia="en-GB"/>
              </w:rPr>
              <w:t>3.8</w:t>
            </w:r>
          </w:p>
        </w:tc>
        <w:tc>
          <w:tcPr>
            <w:tcW w:w="1228" w:type="dxa"/>
            <w:tcBorders>
              <w:top w:val="nil"/>
              <w:left w:val="single" w:sz="4" w:space="0" w:color="auto"/>
              <w:bottom w:val="single" w:sz="4" w:space="0" w:color="auto"/>
              <w:right w:val="single" w:sz="4" w:space="0" w:color="auto"/>
            </w:tcBorders>
            <w:shd w:val="clear" w:color="auto" w:fill="auto"/>
            <w:vAlign w:val="center"/>
            <w:hideMark/>
          </w:tcPr>
          <w:p w14:paraId="3BEAA83F" w14:textId="77777777" w:rsidR="00CA7FAE" w:rsidRPr="007C740F" w:rsidRDefault="00CA7FAE" w:rsidP="00CA7FAE">
            <w:pPr>
              <w:spacing w:after="0"/>
              <w:jc w:val="center"/>
              <w:rPr>
                <w:rFonts w:ascii="Calibri" w:hAnsi="Calibri"/>
                <w:b/>
                <w:bCs/>
                <w:color w:val="000000"/>
                <w:sz w:val="18"/>
                <w:szCs w:val="18"/>
              </w:rPr>
            </w:pPr>
            <w:r w:rsidRPr="007C740F">
              <w:rPr>
                <w:rFonts w:ascii="Calibri" w:hAnsi="Calibri"/>
                <w:b/>
                <w:bCs/>
                <w:color w:val="000000"/>
                <w:sz w:val="18"/>
                <w:szCs w:val="18"/>
              </w:rPr>
              <w:t>34.9</w:t>
            </w:r>
          </w:p>
        </w:tc>
        <w:tc>
          <w:tcPr>
            <w:tcW w:w="1157" w:type="dxa"/>
            <w:tcBorders>
              <w:top w:val="nil"/>
              <w:left w:val="single" w:sz="4" w:space="0" w:color="auto"/>
              <w:bottom w:val="single" w:sz="4" w:space="0" w:color="auto"/>
              <w:right w:val="nil"/>
            </w:tcBorders>
            <w:shd w:val="clear" w:color="auto" w:fill="auto"/>
            <w:noWrap/>
            <w:vAlign w:val="center"/>
            <w:hideMark/>
          </w:tcPr>
          <w:p w14:paraId="34455C9E"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38.7</w:t>
            </w:r>
          </w:p>
        </w:tc>
        <w:tc>
          <w:tcPr>
            <w:tcW w:w="1334" w:type="dxa"/>
            <w:tcBorders>
              <w:top w:val="nil"/>
              <w:left w:val="single" w:sz="4" w:space="0" w:color="auto"/>
              <w:bottom w:val="single" w:sz="4" w:space="0" w:color="auto"/>
              <w:right w:val="single" w:sz="4" w:space="0" w:color="auto"/>
            </w:tcBorders>
            <w:shd w:val="clear" w:color="auto" w:fill="auto"/>
            <w:noWrap/>
            <w:vAlign w:val="center"/>
            <w:hideMark/>
          </w:tcPr>
          <w:p w14:paraId="63FEEA2B" w14:textId="77777777" w:rsidR="00CA7FAE" w:rsidRPr="007C740F" w:rsidRDefault="00CA7FAE" w:rsidP="00CA7FAE">
            <w:pPr>
              <w:spacing w:after="0"/>
              <w:jc w:val="center"/>
              <w:rPr>
                <w:rFonts w:ascii="Calibri" w:hAnsi="Calibri"/>
                <w:color w:val="000000"/>
                <w:sz w:val="18"/>
                <w:szCs w:val="18"/>
              </w:rPr>
            </w:pPr>
            <w:r w:rsidRPr="007C740F">
              <w:rPr>
                <w:rFonts w:ascii="Calibri" w:hAnsi="Calibri"/>
                <w:color w:val="000000"/>
                <w:sz w:val="18"/>
                <w:szCs w:val="18"/>
              </w:rPr>
              <w:t>10</w:t>
            </w:r>
          </w:p>
        </w:tc>
      </w:tr>
    </w:tbl>
    <w:p w14:paraId="14E1B7F1" w14:textId="5275D81F" w:rsidR="00576A24" w:rsidRPr="007C740F" w:rsidRDefault="00576A24" w:rsidP="00576A24">
      <w:pPr>
        <w:pStyle w:val="Heading2"/>
      </w:pPr>
      <w:bookmarkStart w:id="34" w:name="_Toc193659685"/>
      <w:r w:rsidRPr="007C740F">
        <w:lastRenderedPageBreak/>
        <w:t>Comparison with other estimates</w:t>
      </w:r>
      <w:bookmarkEnd w:id="34"/>
    </w:p>
    <w:p w14:paraId="175A45CA" w14:textId="219D58E7" w:rsidR="002340D5" w:rsidRPr="007C740F" w:rsidRDefault="002340D5" w:rsidP="00D335CC">
      <w:pPr>
        <w:pStyle w:val="Heading3"/>
      </w:pPr>
      <w:bookmarkStart w:id="35" w:name="_Toc193659686"/>
      <w:r w:rsidRPr="007C740F">
        <w:t xml:space="preserve">The March of Dimes </w:t>
      </w:r>
      <w:r w:rsidR="00AF5F50" w:rsidRPr="007C740F">
        <w:t xml:space="preserve">(MOD) </w:t>
      </w:r>
      <w:r w:rsidRPr="007C740F">
        <w:t>report</w:t>
      </w:r>
      <w:r w:rsidR="0038126A" w:rsidRPr="007C740F">
        <w:t xml:space="preserve"> (Christianson et al. 2006)</w:t>
      </w:r>
      <w:bookmarkEnd w:id="35"/>
      <w:r w:rsidR="003C0CAF" w:rsidRPr="007C740F">
        <w:t xml:space="preserve"> </w:t>
      </w:r>
    </w:p>
    <w:p w14:paraId="2D536D8E" w14:textId="0BB4F62C" w:rsidR="003C0CAF" w:rsidRPr="007C740F" w:rsidRDefault="003C0CAF" w:rsidP="00F555B6">
      <w:pPr>
        <w:pStyle w:val="BodyText1"/>
        <w:jc w:val="both"/>
      </w:pPr>
      <w:r w:rsidRPr="007C740F">
        <w:t xml:space="preserve">The </w:t>
      </w:r>
      <w:r w:rsidR="002340D5" w:rsidRPr="007C740F">
        <w:t>estimates of birth prevalence and outcomes in the March</w:t>
      </w:r>
      <w:r w:rsidRPr="007C740F">
        <w:t xml:space="preserve"> of Dimes report were based on the studies of Czeizel and Sankananarayanan (1984) and Baird et al (1988)</w:t>
      </w:r>
      <w:r w:rsidR="0038126A" w:rsidRPr="007C740F">
        <w:t xml:space="preserve"> </w:t>
      </w:r>
      <w:r w:rsidR="008B0B70" w:rsidRPr="007C740F">
        <w:t xml:space="preserve">together with </w:t>
      </w:r>
      <w:r w:rsidRPr="007C740F">
        <w:t>available disorder-specific reports. The positive reception of th</w:t>
      </w:r>
      <w:r w:rsidR="0038126A" w:rsidRPr="007C740F">
        <w:t xml:space="preserve">e MOD </w:t>
      </w:r>
      <w:r w:rsidRPr="007C740F">
        <w:t xml:space="preserve">report (WHO  </w:t>
      </w:r>
      <w:r w:rsidR="0038126A" w:rsidRPr="007C740F">
        <w:t>2006</w:t>
      </w:r>
      <w:r w:rsidRPr="007C740F">
        <w:t xml:space="preserve">) encouraged further development of the </w:t>
      </w:r>
      <w:r w:rsidR="0038126A" w:rsidRPr="007C740F">
        <w:t>MGDb</w:t>
      </w:r>
      <w:r w:rsidRPr="007C740F">
        <w:t>.</w:t>
      </w:r>
    </w:p>
    <w:p w14:paraId="7DF171AD" w14:textId="6119DADC" w:rsidR="00AF2829" w:rsidRPr="007C740F" w:rsidRDefault="00F6306A" w:rsidP="00F555B6">
      <w:pPr>
        <w:pStyle w:val="BodyText1"/>
        <w:jc w:val="both"/>
      </w:pPr>
      <w:r w:rsidRPr="007C740F">
        <w:t>Since 2015 t</w:t>
      </w:r>
      <w:r w:rsidR="003C0CAF" w:rsidRPr="007C740F">
        <w:t xml:space="preserve">he MGDb has used </w:t>
      </w:r>
      <w:r w:rsidRPr="007C740F">
        <w:t xml:space="preserve">the ongoing </w:t>
      </w:r>
      <w:r w:rsidR="003C0CAF" w:rsidRPr="007C740F">
        <w:t>EUROCAT estimates of baseline birth prevalence</w:t>
      </w:r>
      <w:r w:rsidR="003C0CAF" w:rsidRPr="007C740F" w:rsidDel="00895015">
        <w:t xml:space="preserve"> </w:t>
      </w:r>
      <w:r w:rsidR="003C0CAF" w:rsidRPr="007C740F">
        <w:t xml:space="preserve">and birth outcomes. </w:t>
      </w:r>
      <w:r w:rsidR="00202B27" w:rsidRPr="007C740F">
        <w:t>The</w:t>
      </w:r>
      <w:r w:rsidR="0038126A" w:rsidRPr="007C740F">
        <w:t xml:space="preserve"> EUROCAT </w:t>
      </w:r>
      <w:r w:rsidR="00AF5F50" w:rsidRPr="007C740F">
        <w:t>rates</w:t>
      </w:r>
      <w:r w:rsidR="00AF2829" w:rsidRPr="007C740F">
        <w:t xml:space="preserve"> </w:t>
      </w:r>
      <w:r w:rsidRPr="007C740F">
        <w:t xml:space="preserve">include only defects that usually lead to death or disability in the absence of intervention and so </w:t>
      </w:r>
      <w:r w:rsidR="00AF2829" w:rsidRPr="007C740F">
        <w:t xml:space="preserve">are lower than </w:t>
      </w:r>
      <w:r w:rsidR="00AF5F50" w:rsidRPr="007C740F">
        <w:t xml:space="preserve">MOD </w:t>
      </w:r>
      <w:r w:rsidR="00AF2829" w:rsidRPr="007C740F">
        <w:t>rates for some disorder groups</w:t>
      </w:r>
      <w:r w:rsidRPr="007C740F">
        <w:t xml:space="preserve">, but there </w:t>
      </w:r>
      <w:r w:rsidR="00AF2829" w:rsidRPr="007C740F">
        <w:t>is generally good correspondence when the appropriate adjustments are made</w:t>
      </w:r>
      <w:r w:rsidRPr="007C740F">
        <w:t>. T</w:t>
      </w:r>
      <w:r w:rsidR="0038126A" w:rsidRPr="007C740F">
        <w:t xml:space="preserve">here is </w:t>
      </w:r>
      <w:r w:rsidRPr="007C740F">
        <w:t xml:space="preserve">however an </w:t>
      </w:r>
      <w:r w:rsidR="00AF5F50" w:rsidRPr="007C740F">
        <w:t>exception</w:t>
      </w:r>
      <w:r w:rsidR="00AF2829" w:rsidRPr="007C740F">
        <w:t>.</w:t>
      </w:r>
      <w:r w:rsidR="00202B27" w:rsidRPr="007C740F">
        <w:t xml:space="preserve"> </w:t>
      </w:r>
      <w:r w:rsidR="00202B27" w:rsidRPr="007C740F">
        <w:rPr>
          <w:iCs/>
        </w:rPr>
        <w:t xml:space="preserve">EUROCAT </w:t>
      </w:r>
      <w:r w:rsidR="00AF5F50" w:rsidRPr="007C740F">
        <w:rPr>
          <w:iCs/>
        </w:rPr>
        <w:t xml:space="preserve">estimates </w:t>
      </w:r>
      <w:r w:rsidR="00202B27" w:rsidRPr="007C740F">
        <w:rPr>
          <w:iCs/>
        </w:rPr>
        <w:t xml:space="preserve">7.1/1,000 for congenital heart </w:t>
      </w:r>
      <w:r w:rsidR="00202B27" w:rsidRPr="007C740F">
        <w:rPr>
          <w:i/>
        </w:rPr>
        <w:t>defects</w:t>
      </w:r>
      <w:r w:rsidR="0038126A" w:rsidRPr="007C740F">
        <w:rPr>
          <w:iCs/>
        </w:rPr>
        <w:t>,</w:t>
      </w:r>
      <w:r w:rsidR="00202B27" w:rsidRPr="007C740F">
        <w:rPr>
          <w:iCs/>
        </w:rPr>
        <w:t xml:space="preserve"> </w:t>
      </w:r>
      <w:r w:rsidR="00AF5F50" w:rsidRPr="007C740F">
        <w:rPr>
          <w:iCs/>
        </w:rPr>
        <w:t xml:space="preserve">but </w:t>
      </w:r>
      <w:r w:rsidR="00202B27" w:rsidRPr="007C740F">
        <w:t>m</w:t>
      </w:r>
      <w:r w:rsidR="00202B27" w:rsidRPr="007C740F">
        <w:rPr>
          <w:iCs/>
        </w:rPr>
        <w:t>any defects never cause a health problem</w:t>
      </w:r>
      <w:r w:rsidR="00AF5F50" w:rsidRPr="007C740F">
        <w:rPr>
          <w:iCs/>
        </w:rPr>
        <w:t>.</w:t>
      </w:r>
      <w:r w:rsidR="0038126A" w:rsidRPr="007C740F">
        <w:rPr>
          <w:iCs/>
        </w:rPr>
        <w:t xml:space="preserve"> To allow for this</w:t>
      </w:r>
      <w:r w:rsidR="00AF5F50" w:rsidRPr="007C740F">
        <w:rPr>
          <w:iCs/>
        </w:rPr>
        <w:t xml:space="preserve"> </w:t>
      </w:r>
      <w:r w:rsidR="0038126A" w:rsidRPr="007C740F">
        <w:rPr>
          <w:iCs/>
        </w:rPr>
        <w:t>t</w:t>
      </w:r>
      <w:r w:rsidR="00AF5F50" w:rsidRPr="007C740F">
        <w:rPr>
          <w:iCs/>
        </w:rPr>
        <w:t xml:space="preserve">he MGDb uses a rate of </w:t>
      </w:r>
      <w:r w:rsidR="00AF5F50" w:rsidRPr="007C740F">
        <w:t xml:space="preserve">3.3/1,000 for congenital heart </w:t>
      </w:r>
      <w:r w:rsidR="00AF5F50" w:rsidRPr="007C740F">
        <w:rPr>
          <w:i/>
        </w:rPr>
        <w:t>disease</w:t>
      </w:r>
      <w:r w:rsidR="00202B27" w:rsidRPr="007C740F">
        <w:rPr>
          <w:iCs/>
        </w:rPr>
        <w:t xml:space="preserve"> (See Article </w:t>
      </w:r>
      <w:r w:rsidR="00AF5F50" w:rsidRPr="007C740F">
        <w:rPr>
          <w:iCs/>
        </w:rPr>
        <w:t>7.3 Congenital heart disease)</w:t>
      </w:r>
      <w:r w:rsidR="00AF2829" w:rsidRPr="007C740F">
        <w:t>.</w:t>
      </w:r>
    </w:p>
    <w:p w14:paraId="359AE959" w14:textId="369D045D" w:rsidR="00A1542E" w:rsidRPr="007C740F" w:rsidRDefault="00D335CC" w:rsidP="00A1542E">
      <w:pPr>
        <w:pStyle w:val="Heading3"/>
      </w:pPr>
      <w:bookmarkStart w:id="36" w:name="_Toc193659687"/>
      <w:r w:rsidRPr="007C740F">
        <w:t>The</w:t>
      </w:r>
      <w:r w:rsidR="00A1542E" w:rsidRPr="007C740F">
        <w:t xml:space="preserve"> </w:t>
      </w:r>
      <w:r w:rsidR="003F1023" w:rsidRPr="007C740F">
        <w:t>g</w:t>
      </w:r>
      <w:r w:rsidR="00A1542E" w:rsidRPr="007C740F">
        <w:t>lobal Burden of Disease (GBD) study</w:t>
      </w:r>
      <w:bookmarkEnd w:id="36"/>
    </w:p>
    <w:p w14:paraId="12F6CCC8" w14:textId="26B5B4EC" w:rsidR="00576A24" w:rsidRPr="007C740F" w:rsidRDefault="00576A24" w:rsidP="00F555B6">
      <w:pPr>
        <w:pStyle w:val="BodyText1"/>
        <w:jc w:val="both"/>
      </w:pPr>
      <w:r w:rsidRPr="007C740F">
        <w:t xml:space="preserve">The </w:t>
      </w:r>
      <w:r w:rsidR="00A1542E" w:rsidRPr="007C740F">
        <w:t>GBD</w:t>
      </w:r>
      <w:r w:rsidRPr="007C740F">
        <w:t xml:space="preserve"> publishes country-specific estimates of </w:t>
      </w:r>
      <w:r w:rsidR="004073E6" w:rsidRPr="007C740F">
        <w:t xml:space="preserve">incidence </w:t>
      </w:r>
      <w:r w:rsidRPr="007C740F">
        <w:t xml:space="preserve">mortality and disability </w:t>
      </w:r>
      <w:r w:rsidR="00BF698D" w:rsidRPr="007C740F">
        <w:t xml:space="preserve">for a wide range of diseases </w:t>
      </w:r>
      <w:r w:rsidR="004327C5" w:rsidRPr="007C740F">
        <w:t>at (</w:t>
      </w:r>
      <w:hyperlink r:id="rId25" w:history="1">
        <w:r w:rsidR="004327C5" w:rsidRPr="007C740F">
          <w:rPr>
            <w:rStyle w:val="Hyperlink"/>
          </w:rPr>
          <w:t>https://vizhub.healthdata.org/gbd-results/</w:t>
        </w:r>
      </w:hyperlink>
      <w:r w:rsidR="004327C5" w:rsidRPr="007C740F">
        <w:t xml:space="preserve">. </w:t>
      </w:r>
      <w:r w:rsidR="00BF698D" w:rsidRPr="007C740F">
        <w:t>However</w:t>
      </w:r>
      <w:r w:rsidR="003F1023" w:rsidRPr="007C740F">
        <w:t>,</w:t>
      </w:r>
      <w:r w:rsidR="00BF698D" w:rsidRPr="007C740F">
        <w:t xml:space="preserve"> </w:t>
      </w:r>
      <w:r w:rsidR="004327C5" w:rsidRPr="007C740F">
        <w:t xml:space="preserve">the </w:t>
      </w:r>
      <w:r w:rsidR="004073E6" w:rsidRPr="007C740F">
        <w:t xml:space="preserve">GBD </w:t>
      </w:r>
      <w:r w:rsidR="00E81F98" w:rsidRPr="007C740F">
        <w:t xml:space="preserve">heading </w:t>
      </w:r>
      <w:r w:rsidR="004327C5" w:rsidRPr="007C740F">
        <w:t>“</w:t>
      </w:r>
      <w:r w:rsidR="00E81F98" w:rsidRPr="007C740F">
        <w:t>C</w:t>
      </w:r>
      <w:r w:rsidR="004327C5" w:rsidRPr="007C740F">
        <w:t xml:space="preserve">ongenital birth defects” </w:t>
      </w:r>
      <w:r w:rsidR="0038126A" w:rsidRPr="007C740F">
        <w:t xml:space="preserve">only </w:t>
      </w:r>
      <w:r w:rsidR="00D335CC" w:rsidRPr="007C740F">
        <w:t>covers</w:t>
      </w:r>
      <w:r w:rsidR="004327C5" w:rsidRPr="007C740F">
        <w:t xml:space="preserve"> </w:t>
      </w:r>
      <w:r w:rsidRPr="007C740F">
        <w:t>congenital anomalies (chromosomal disorders and congenital malformations)</w:t>
      </w:r>
      <w:r w:rsidR="00BF698D" w:rsidRPr="007C740F">
        <w:t xml:space="preserve">. </w:t>
      </w:r>
      <w:r w:rsidR="00E81F98" w:rsidRPr="007C740F">
        <w:t>H</w:t>
      </w:r>
      <w:r w:rsidRPr="007C740F">
        <w:t>aemoglobin</w:t>
      </w:r>
      <w:r w:rsidR="00A1542E" w:rsidRPr="007C740F">
        <w:t xml:space="preserve"> disorders and G6PD deficiency</w:t>
      </w:r>
      <w:r w:rsidR="003A5F58" w:rsidRPr="007C740F">
        <w:t xml:space="preserve"> </w:t>
      </w:r>
      <w:r w:rsidR="00BF698D" w:rsidRPr="007C740F">
        <w:t>ar</w:t>
      </w:r>
      <w:r w:rsidR="004327C5" w:rsidRPr="007C740F">
        <w:t xml:space="preserve">e </w:t>
      </w:r>
      <w:r w:rsidR="00E81F98" w:rsidRPr="007C740F">
        <w:t xml:space="preserve">included elsewhere but there are no collective </w:t>
      </w:r>
      <w:r w:rsidR="0038126A" w:rsidRPr="007C740F">
        <w:t xml:space="preserve">GBD </w:t>
      </w:r>
      <w:r w:rsidR="00E81F98" w:rsidRPr="007C740F">
        <w:t xml:space="preserve">estimates for </w:t>
      </w:r>
      <w:r w:rsidR="004073E6" w:rsidRPr="007C740F">
        <w:t>rare</w:t>
      </w:r>
      <w:r w:rsidR="00E81F98" w:rsidRPr="007C740F">
        <w:t xml:space="preserve"> single gene disorders</w:t>
      </w:r>
      <w:r w:rsidR="004327C5" w:rsidRPr="007C740F">
        <w:t>.</w:t>
      </w:r>
      <w:r w:rsidR="003A5F58" w:rsidRPr="007C740F">
        <w:t xml:space="preserve"> </w:t>
      </w:r>
    </w:p>
    <w:p w14:paraId="04B9CF2A" w14:textId="0784E9B7" w:rsidR="00840E9F" w:rsidRPr="007C740F" w:rsidRDefault="00576A24" w:rsidP="00F555B6">
      <w:pPr>
        <w:pStyle w:val="BodyText1"/>
        <w:jc w:val="both"/>
      </w:pPr>
      <w:r w:rsidRPr="007C740F">
        <w:t xml:space="preserve">The </w:t>
      </w:r>
      <w:r w:rsidR="00D335CC" w:rsidRPr="007C740F">
        <w:t>201</w:t>
      </w:r>
      <w:r w:rsidR="00E1244A" w:rsidRPr="007C740F">
        <w:t>9</w:t>
      </w:r>
      <w:r w:rsidR="00D335CC" w:rsidRPr="007C740F">
        <w:t xml:space="preserve"> </w:t>
      </w:r>
      <w:r w:rsidRPr="007C740F">
        <w:t xml:space="preserve">GBD </w:t>
      </w:r>
      <w:r w:rsidR="00393AC6" w:rsidRPr="007C740F">
        <w:t xml:space="preserve">distinguishes 10 </w:t>
      </w:r>
      <w:r w:rsidR="00D335CC" w:rsidRPr="007C740F">
        <w:t>group</w:t>
      </w:r>
      <w:r w:rsidR="00E1244A" w:rsidRPr="007C740F">
        <w:t xml:space="preserve">s </w:t>
      </w:r>
      <w:r w:rsidR="00393AC6" w:rsidRPr="007C740F">
        <w:t xml:space="preserve">of </w:t>
      </w:r>
      <w:r w:rsidRPr="007C740F">
        <w:t xml:space="preserve">congenital </w:t>
      </w:r>
      <w:r w:rsidR="00E1244A" w:rsidRPr="007C740F">
        <w:t>birth defects (Down</w:t>
      </w:r>
      <w:r w:rsidR="00C40643" w:rsidRPr="007C740F">
        <w:t xml:space="preserve"> syndrome</w:t>
      </w:r>
      <w:r w:rsidR="00E1244A" w:rsidRPr="007C740F">
        <w:t xml:space="preserve">, Turner and Klinefelter syndromes, </w:t>
      </w:r>
      <w:r w:rsidRPr="007C740F">
        <w:t>other chromosomal disorders, neural tube defects, oro-facial clefts, congenital heart d</w:t>
      </w:r>
      <w:r w:rsidR="00E1244A" w:rsidRPr="007C740F">
        <w:t>efects</w:t>
      </w:r>
      <w:r w:rsidRPr="007C740F">
        <w:t>,</w:t>
      </w:r>
      <w:r w:rsidR="00E1244A" w:rsidRPr="007C740F">
        <w:t xml:space="preserve"> musculo-skeletal, urogenital</w:t>
      </w:r>
      <w:r w:rsidRPr="007C740F">
        <w:t xml:space="preserve"> and other congenital malformations</w:t>
      </w:r>
      <w:r w:rsidR="00E1244A" w:rsidRPr="007C740F">
        <w:t>)</w:t>
      </w:r>
      <w:r w:rsidRPr="007C740F">
        <w:t xml:space="preserve"> and publishe</w:t>
      </w:r>
      <w:r w:rsidR="00E1244A" w:rsidRPr="007C740F">
        <w:t>s</w:t>
      </w:r>
      <w:r w:rsidRPr="007C740F">
        <w:t xml:space="preserve"> estimates for </w:t>
      </w:r>
      <w:r w:rsidR="00E1244A" w:rsidRPr="007C740F">
        <w:t>“incidence”</w:t>
      </w:r>
      <w:r w:rsidR="00ED7F7E" w:rsidRPr="007C740F">
        <w:t xml:space="preserve"> (live birth prevalence</w:t>
      </w:r>
      <w:r w:rsidR="00E1244A" w:rsidRPr="007C740F">
        <w:t xml:space="preserve">) and </w:t>
      </w:r>
      <w:r w:rsidR="00365CD6" w:rsidRPr="007C740F">
        <w:t xml:space="preserve">mortality </w:t>
      </w:r>
      <w:r w:rsidR="00F6306A" w:rsidRPr="007C740F">
        <w:t xml:space="preserve">and disability </w:t>
      </w:r>
      <w:r w:rsidR="00365CD6" w:rsidRPr="007C740F">
        <w:t>in terms of</w:t>
      </w:r>
      <w:r w:rsidRPr="007C740F">
        <w:t xml:space="preserve"> annual </w:t>
      </w:r>
      <w:r w:rsidR="00E1244A" w:rsidRPr="007C740F">
        <w:t xml:space="preserve">numbers and rates </w:t>
      </w:r>
      <w:r w:rsidRPr="007C740F">
        <w:t>per 100,000 population</w:t>
      </w:r>
      <w:r w:rsidR="00E1244A" w:rsidRPr="007C740F">
        <w:t>.</w:t>
      </w:r>
      <w:r w:rsidR="00C40643" w:rsidRPr="007C740F">
        <w:t xml:space="preserve"> </w:t>
      </w:r>
      <w:r w:rsidRPr="007C740F">
        <w:t xml:space="preserve">Table </w:t>
      </w:r>
      <w:r w:rsidR="00576058" w:rsidRPr="007C740F">
        <w:t>1</w:t>
      </w:r>
      <w:r w:rsidR="00F6306A" w:rsidRPr="007C740F">
        <w:t>5</w:t>
      </w:r>
      <w:r w:rsidRPr="007C740F">
        <w:t xml:space="preserve"> </w:t>
      </w:r>
      <w:r w:rsidR="00393AC6" w:rsidRPr="007C740F">
        <w:t xml:space="preserve">compares </w:t>
      </w:r>
      <w:r w:rsidR="00AD657D" w:rsidRPr="007C740F">
        <w:t xml:space="preserve">MGDb and GBD </w:t>
      </w:r>
      <w:r w:rsidR="00393AC6" w:rsidRPr="007C740F">
        <w:t>estimates of under-5 mortality due to</w:t>
      </w:r>
      <w:r w:rsidRPr="007C740F">
        <w:t xml:space="preserve"> </w:t>
      </w:r>
      <w:r w:rsidR="00DF16E7" w:rsidRPr="007C740F">
        <w:t xml:space="preserve">total </w:t>
      </w:r>
      <w:r w:rsidRPr="007C740F">
        <w:t>congenital anomalies</w:t>
      </w:r>
      <w:r w:rsidR="00DF16E7" w:rsidRPr="007C740F">
        <w:t>.</w:t>
      </w:r>
      <w:r w:rsidR="00711E99" w:rsidRPr="007C740F">
        <w:rPr>
          <w:sz w:val="20"/>
          <w:szCs w:val="20"/>
        </w:rPr>
        <w:t xml:space="preserve"> </w:t>
      </w:r>
    </w:p>
    <w:p w14:paraId="7450E06F" w14:textId="4C90933C" w:rsidR="005E5E63" w:rsidRPr="007C740F" w:rsidRDefault="005E5E63" w:rsidP="00A0215E">
      <w:pPr>
        <w:pStyle w:val="Tableheader"/>
        <w:rPr>
          <w:szCs w:val="20"/>
        </w:rPr>
      </w:pPr>
      <w:r w:rsidRPr="007C740F">
        <w:t>Table 1</w:t>
      </w:r>
      <w:r w:rsidR="00F6306A" w:rsidRPr="007C740F">
        <w:t>5</w:t>
      </w:r>
      <w:r w:rsidRPr="007C740F">
        <w:t xml:space="preserve">. Comparison of MGDb and GBD estimates of under-5 deaths due to congenital </w:t>
      </w:r>
      <w:r w:rsidRPr="007C740F">
        <w:rPr>
          <w:iCs/>
        </w:rPr>
        <w:t>anomalies</w:t>
      </w:r>
      <w:r w:rsidR="00AD657D" w:rsidRPr="007C740F">
        <w:rPr>
          <w:iCs/>
        </w:rPr>
        <w:t>,</w:t>
      </w:r>
      <w:r w:rsidRPr="007C740F">
        <w:rPr>
          <w:iCs/>
        </w:rPr>
        <w:t xml:space="preserve"> </w:t>
      </w:r>
      <w:r w:rsidRPr="007C740F">
        <w:t>ranked in ascending order of GBD proportion of MGDb</w:t>
      </w:r>
    </w:p>
    <w:tbl>
      <w:tblPr>
        <w:tblW w:w="6232" w:type="dxa"/>
        <w:jc w:val="center"/>
        <w:tblLook w:val="04A0" w:firstRow="1" w:lastRow="0" w:firstColumn="1" w:lastColumn="0" w:noHBand="0" w:noVBand="1"/>
      </w:tblPr>
      <w:tblGrid>
        <w:gridCol w:w="1129"/>
        <w:gridCol w:w="851"/>
        <w:gridCol w:w="931"/>
        <w:gridCol w:w="760"/>
        <w:gridCol w:w="760"/>
        <w:gridCol w:w="760"/>
        <w:gridCol w:w="1041"/>
      </w:tblGrid>
      <w:tr w:rsidR="005E5E63" w:rsidRPr="007C740F" w14:paraId="42A618F2" w14:textId="77777777" w:rsidTr="00A0215E">
        <w:trPr>
          <w:trHeight w:val="284"/>
          <w:jc w:val="center"/>
        </w:trPr>
        <w:tc>
          <w:tcPr>
            <w:tcW w:w="1129" w:type="dxa"/>
            <w:vMerge w:val="restart"/>
            <w:tcBorders>
              <w:top w:val="single" w:sz="4" w:space="0" w:color="auto"/>
              <w:left w:val="single" w:sz="4" w:space="0" w:color="auto"/>
              <w:right w:val="nil"/>
            </w:tcBorders>
            <w:shd w:val="clear" w:color="auto" w:fill="auto"/>
            <w:vAlign w:val="center"/>
          </w:tcPr>
          <w:p w14:paraId="24044021" w14:textId="2B3225EF"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WHO region</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21CFABE" w14:textId="01C03A30"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WPP U-5 MR 2021</w:t>
            </w:r>
          </w:p>
        </w:tc>
        <w:tc>
          <w:tcPr>
            <w:tcW w:w="1691" w:type="dxa"/>
            <w:gridSpan w:val="2"/>
            <w:tcBorders>
              <w:top w:val="single" w:sz="4" w:space="0" w:color="auto"/>
              <w:left w:val="nil"/>
              <w:bottom w:val="single" w:sz="4" w:space="0" w:color="auto"/>
              <w:right w:val="nil"/>
            </w:tcBorders>
            <w:shd w:val="clear" w:color="auto" w:fill="auto"/>
            <w:vAlign w:val="center"/>
          </w:tcPr>
          <w:p w14:paraId="00D40B43" w14:textId="63879CB8"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Under-5 deaths /1,000 births</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D72A6" w14:textId="0E713726" w:rsidR="005E5E63" w:rsidRPr="007C740F" w:rsidRDefault="005E5E63" w:rsidP="00A0215E">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 of WPP under-5 deaths</w:t>
            </w:r>
          </w:p>
        </w:tc>
        <w:tc>
          <w:tcPr>
            <w:tcW w:w="1041" w:type="dxa"/>
            <w:vMerge w:val="restart"/>
            <w:tcBorders>
              <w:top w:val="single" w:sz="4" w:space="0" w:color="auto"/>
              <w:left w:val="nil"/>
              <w:right w:val="single" w:sz="4" w:space="0" w:color="auto"/>
            </w:tcBorders>
            <w:shd w:val="clear" w:color="auto" w:fill="auto"/>
            <w:vAlign w:val="center"/>
          </w:tcPr>
          <w:p w14:paraId="19F40D12" w14:textId="5039200A"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GBD propn of MGDb</w:t>
            </w:r>
          </w:p>
        </w:tc>
      </w:tr>
      <w:tr w:rsidR="005E5E63" w:rsidRPr="007C740F" w14:paraId="5B80BE1C" w14:textId="77777777" w:rsidTr="00A0215E">
        <w:trPr>
          <w:trHeight w:val="284"/>
          <w:jc w:val="center"/>
        </w:trPr>
        <w:tc>
          <w:tcPr>
            <w:tcW w:w="1129" w:type="dxa"/>
            <w:vMerge/>
            <w:tcBorders>
              <w:left w:val="single" w:sz="4" w:space="0" w:color="auto"/>
              <w:bottom w:val="single" w:sz="4" w:space="0" w:color="auto"/>
              <w:right w:val="nil"/>
            </w:tcBorders>
            <w:shd w:val="clear" w:color="auto" w:fill="auto"/>
            <w:vAlign w:val="bottom"/>
            <w:hideMark/>
          </w:tcPr>
          <w:p w14:paraId="019D545B" w14:textId="75893138" w:rsidR="005E5E63" w:rsidRPr="007C740F" w:rsidRDefault="005E5E63" w:rsidP="005E5E63">
            <w:pPr>
              <w:spacing w:after="0" w:line="240" w:lineRule="auto"/>
              <w:rPr>
                <w:rFonts w:eastAsia="Times New Roman" w:cstheme="minorHAnsi"/>
                <w:color w:val="000000"/>
                <w:sz w:val="18"/>
                <w:szCs w:val="18"/>
                <w:lang w:eastAsia="en-GB"/>
              </w:rPr>
            </w:pPr>
          </w:p>
        </w:tc>
        <w:tc>
          <w:tcPr>
            <w:tcW w:w="851" w:type="dxa"/>
            <w:vMerge/>
            <w:tcBorders>
              <w:left w:val="single" w:sz="4" w:space="0" w:color="auto"/>
              <w:bottom w:val="single" w:sz="4" w:space="0" w:color="auto"/>
              <w:right w:val="single" w:sz="4" w:space="0" w:color="auto"/>
            </w:tcBorders>
            <w:shd w:val="clear" w:color="auto" w:fill="auto"/>
            <w:vAlign w:val="bottom"/>
            <w:hideMark/>
          </w:tcPr>
          <w:p w14:paraId="0BB9DC1D" w14:textId="2F0F8724" w:rsidR="005E5E63" w:rsidRPr="007C740F" w:rsidRDefault="005E5E63" w:rsidP="005E5E63">
            <w:pPr>
              <w:spacing w:after="0" w:line="240" w:lineRule="auto"/>
              <w:jc w:val="center"/>
              <w:rPr>
                <w:rFonts w:eastAsia="Times New Roman" w:cstheme="minorHAnsi"/>
                <w:color w:val="000000"/>
                <w:sz w:val="18"/>
                <w:szCs w:val="18"/>
                <w:lang w:eastAsia="en-GB"/>
              </w:rPr>
            </w:pPr>
          </w:p>
        </w:tc>
        <w:tc>
          <w:tcPr>
            <w:tcW w:w="931" w:type="dxa"/>
            <w:tcBorders>
              <w:top w:val="single" w:sz="4" w:space="0" w:color="auto"/>
              <w:left w:val="nil"/>
              <w:bottom w:val="single" w:sz="4" w:space="0" w:color="auto"/>
              <w:right w:val="nil"/>
            </w:tcBorders>
            <w:shd w:val="clear" w:color="auto" w:fill="auto"/>
            <w:vAlign w:val="bottom"/>
            <w:hideMark/>
          </w:tcPr>
          <w:p w14:paraId="743DE8B9"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MGDb 2020-24</w:t>
            </w:r>
          </w:p>
        </w:tc>
        <w:tc>
          <w:tcPr>
            <w:tcW w:w="760" w:type="dxa"/>
            <w:tcBorders>
              <w:top w:val="single" w:sz="4" w:space="0" w:color="auto"/>
              <w:left w:val="nil"/>
              <w:bottom w:val="single" w:sz="4" w:space="0" w:color="auto"/>
              <w:right w:val="nil"/>
            </w:tcBorders>
            <w:shd w:val="clear" w:color="auto" w:fill="auto"/>
            <w:vAlign w:val="bottom"/>
            <w:hideMark/>
          </w:tcPr>
          <w:p w14:paraId="061602A6"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GBD 2019</w:t>
            </w:r>
          </w:p>
        </w:tc>
        <w:tc>
          <w:tcPr>
            <w:tcW w:w="760" w:type="dxa"/>
            <w:tcBorders>
              <w:top w:val="single" w:sz="4" w:space="0" w:color="auto"/>
              <w:left w:val="single" w:sz="4" w:space="0" w:color="auto"/>
              <w:bottom w:val="single" w:sz="4" w:space="0" w:color="auto"/>
              <w:right w:val="nil"/>
            </w:tcBorders>
            <w:shd w:val="clear" w:color="auto" w:fill="auto"/>
            <w:vAlign w:val="bottom"/>
            <w:hideMark/>
          </w:tcPr>
          <w:p w14:paraId="157058B9"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MGDb</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2087073"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GBD</w:t>
            </w:r>
          </w:p>
        </w:tc>
        <w:tc>
          <w:tcPr>
            <w:tcW w:w="1041" w:type="dxa"/>
            <w:vMerge/>
            <w:tcBorders>
              <w:left w:val="nil"/>
              <w:bottom w:val="single" w:sz="4" w:space="0" w:color="auto"/>
              <w:right w:val="single" w:sz="4" w:space="0" w:color="auto"/>
            </w:tcBorders>
            <w:shd w:val="clear" w:color="auto" w:fill="auto"/>
            <w:vAlign w:val="bottom"/>
            <w:hideMark/>
          </w:tcPr>
          <w:p w14:paraId="68CEAAF1" w14:textId="5B97237C" w:rsidR="005E5E63" w:rsidRPr="007C740F" w:rsidRDefault="005E5E63" w:rsidP="005E5E63">
            <w:pPr>
              <w:spacing w:after="0" w:line="240" w:lineRule="auto"/>
              <w:jc w:val="center"/>
              <w:rPr>
                <w:rFonts w:eastAsia="Times New Roman" w:cstheme="minorHAnsi"/>
                <w:color w:val="000000"/>
                <w:sz w:val="18"/>
                <w:szCs w:val="18"/>
                <w:lang w:eastAsia="en-GB"/>
              </w:rPr>
            </w:pPr>
          </w:p>
        </w:tc>
      </w:tr>
      <w:tr w:rsidR="005E5E63" w:rsidRPr="007C740F" w14:paraId="19EB5407" w14:textId="77777777" w:rsidTr="005E5E63">
        <w:trPr>
          <w:trHeight w:val="300"/>
          <w:jc w:val="center"/>
        </w:trPr>
        <w:tc>
          <w:tcPr>
            <w:tcW w:w="1129" w:type="dxa"/>
            <w:tcBorders>
              <w:top w:val="nil"/>
              <w:left w:val="single" w:sz="4" w:space="0" w:color="auto"/>
              <w:bottom w:val="nil"/>
              <w:right w:val="nil"/>
            </w:tcBorders>
            <w:shd w:val="clear" w:color="auto" w:fill="auto"/>
            <w:noWrap/>
            <w:vAlign w:val="bottom"/>
            <w:hideMark/>
          </w:tcPr>
          <w:p w14:paraId="750A1AD9"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SEAR</w:t>
            </w:r>
          </w:p>
        </w:tc>
        <w:tc>
          <w:tcPr>
            <w:tcW w:w="851" w:type="dxa"/>
            <w:tcBorders>
              <w:top w:val="nil"/>
              <w:left w:val="single" w:sz="4" w:space="0" w:color="auto"/>
              <w:bottom w:val="nil"/>
              <w:right w:val="single" w:sz="4" w:space="0" w:color="auto"/>
            </w:tcBorders>
            <w:shd w:val="clear" w:color="auto" w:fill="auto"/>
            <w:noWrap/>
            <w:vAlign w:val="bottom"/>
            <w:hideMark/>
          </w:tcPr>
          <w:p w14:paraId="1FB4FF81"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29.1</w:t>
            </w:r>
          </w:p>
        </w:tc>
        <w:tc>
          <w:tcPr>
            <w:tcW w:w="931" w:type="dxa"/>
            <w:tcBorders>
              <w:top w:val="nil"/>
              <w:left w:val="nil"/>
              <w:bottom w:val="nil"/>
              <w:right w:val="nil"/>
            </w:tcBorders>
            <w:shd w:val="clear" w:color="auto" w:fill="auto"/>
            <w:noWrap/>
            <w:vAlign w:val="bottom"/>
            <w:hideMark/>
          </w:tcPr>
          <w:p w14:paraId="7DBAB753"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8.50</w:t>
            </w:r>
          </w:p>
        </w:tc>
        <w:tc>
          <w:tcPr>
            <w:tcW w:w="760" w:type="dxa"/>
            <w:tcBorders>
              <w:top w:val="nil"/>
              <w:left w:val="nil"/>
              <w:bottom w:val="nil"/>
              <w:right w:val="nil"/>
            </w:tcBorders>
            <w:shd w:val="clear" w:color="auto" w:fill="auto"/>
            <w:vAlign w:val="bottom"/>
            <w:hideMark/>
          </w:tcPr>
          <w:p w14:paraId="7F17E595"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2.82</w:t>
            </w:r>
          </w:p>
        </w:tc>
        <w:tc>
          <w:tcPr>
            <w:tcW w:w="760" w:type="dxa"/>
            <w:tcBorders>
              <w:top w:val="nil"/>
              <w:left w:val="single" w:sz="4" w:space="0" w:color="auto"/>
              <w:bottom w:val="nil"/>
              <w:right w:val="nil"/>
            </w:tcBorders>
            <w:shd w:val="clear" w:color="auto" w:fill="auto"/>
            <w:noWrap/>
            <w:vAlign w:val="bottom"/>
            <w:hideMark/>
          </w:tcPr>
          <w:p w14:paraId="52CF7DD6"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29.2</w:t>
            </w:r>
          </w:p>
        </w:tc>
        <w:tc>
          <w:tcPr>
            <w:tcW w:w="760" w:type="dxa"/>
            <w:tcBorders>
              <w:top w:val="nil"/>
              <w:left w:val="nil"/>
              <w:bottom w:val="nil"/>
              <w:right w:val="single" w:sz="4" w:space="0" w:color="auto"/>
            </w:tcBorders>
            <w:shd w:val="clear" w:color="auto" w:fill="auto"/>
            <w:noWrap/>
            <w:vAlign w:val="bottom"/>
            <w:hideMark/>
          </w:tcPr>
          <w:p w14:paraId="7D1B6C8E"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7.9</w:t>
            </w:r>
          </w:p>
        </w:tc>
        <w:tc>
          <w:tcPr>
            <w:tcW w:w="1041" w:type="dxa"/>
            <w:tcBorders>
              <w:top w:val="nil"/>
              <w:left w:val="nil"/>
              <w:bottom w:val="nil"/>
              <w:right w:val="single" w:sz="4" w:space="0" w:color="auto"/>
            </w:tcBorders>
            <w:shd w:val="clear" w:color="auto" w:fill="auto"/>
            <w:noWrap/>
            <w:vAlign w:val="bottom"/>
            <w:hideMark/>
          </w:tcPr>
          <w:p w14:paraId="2020806B"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0.27</w:t>
            </w:r>
          </w:p>
        </w:tc>
      </w:tr>
      <w:tr w:rsidR="005E5E63" w:rsidRPr="007C740F" w14:paraId="52E9BB6B" w14:textId="77777777" w:rsidTr="005E5E63">
        <w:trPr>
          <w:trHeight w:val="300"/>
          <w:jc w:val="center"/>
        </w:trPr>
        <w:tc>
          <w:tcPr>
            <w:tcW w:w="1129" w:type="dxa"/>
            <w:tcBorders>
              <w:top w:val="nil"/>
              <w:left w:val="single" w:sz="4" w:space="0" w:color="auto"/>
              <w:bottom w:val="nil"/>
              <w:right w:val="nil"/>
            </w:tcBorders>
            <w:shd w:val="clear" w:color="auto" w:fill="auto"/>
            <w:noWrap/>
            <w:vAlign w:val="bottom"/>
            <w:hideMark/>
          </w:tcPr>
          <w:p w14:paraId="74034B22"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AFR</w:t>
            </w:r>
          </w:p>
        </w:tc>
        <w:tc>
          <w:tcPr>
            <w:tcW w:w="851" w:type="dxa"/>
            <w:tcBorders>
              <w:top w:val="nil"/>
              <w:left w:val="single" w:sz="4" w:space="0" w:color="auto"/>
              <w:bottom w:val="nil"/>
              <w:right w:val="single" w:sz="4" w:space="0" w:color="auto"/>
            </w:tcBorders>
            <w:shd w:val="clear" w:color="auto" w:fill="auto"/>
            <w:noWrap/>
            <w:vAlign w:val="bottom"/>
            <w:hideMark/>
          </w:tcPr>
          <w:p w14:paraId="3D665934"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70.1</w:t>
            </w:r>
          </w:p>
        </w:tc>
        <w:tc>
          <w:tcPr>
            <w:tcW w:w="931" w:type="dxa"/>
            <w:tcBorders>
              <w:top w:val="nil"/>
              <w:left w:val="nil"/>
              <w:bottom w:val="nil"/>
              <w:right w:val="nil"/>
            </w:tcBorders>
            <w:shd w:val="clear" w:color="auto" w:fill="auto"/>
            <w:noWrap/>
            <w:vAlign w:val="bottom"/>
            <w:hideMark/>
          </w:tcPr>
          <w:p w14:paraId="1A78F17D"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10.31</w:t>
            </w:r>
          </w:p>
        </w:tc>
        <w:tc>
          <w:tcPr>
            <w:tcW w:w="760" w:type="dxa"/>
            <w:tcBorders>
              <w:top w:val="nil"/>
              <w:left w:val="nil"/>
              <w:bottom w:val="nil"/>
              <w:right w:val="nil"/>
            </w:tcBorders>
            <w:shd w:val="clear" w:color="auto" w:fill="auto"/>
            <w:vAlign w:val="bottom"/>
            <w:hideMark/>
          </w:tcPr>
          <w:p w14:paraId="2CD51AD5"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4.94</w:t>
            </w:r>
          </w:p>
        </w:tc>
        <w:tc>
          <w:tcPr>
            <w:tcW w:w="760" w:type="dxa"/>
            <w:tcBorders>
              <w:top w:val="nil"/>
              <w:left w:val="single" w:sz="4" w:space="0" w:color="auto"/>
              <w:bottom w:val="nil"/>
              <w:right w:val="nil"/>
            </w:tcBorders>
            <w:shd w:val="clear" w:color="auto" w:fill="auto"/>
            <w:noWrap/>
            <w:vAlign w:val="bottom"/>
            <w:hideMark/>
          </w:tcPr>
          <w:p w14:paraId="06732FBB"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14.7</w:t>
            </w:r>
          </w:p>
        </w:tc>
        <w:tc>
          <w:tcPr>
            <w:tcW w:w="760" w:type="dxa"/>
            <w:tcBorders>
              <w:top w:val="nil"/>
              <w:left w:val="nil"/>
              <w:bottom w:val="nil"/>
              <w:right w:val="single" w:sz="4" w:space="0" w:color="auto"/>
            </w:tcBorders>
            <w:shd w:val="clear" w:color="auto" w:fill="auto"/>
            <w:noWrap/>
            <w:vAlign w:val="bottom"/>
            <w:hideMark/>
          </w:tcPr>
          <w:p w14:paraId="0BFABDF4"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6.5</w:t>
            </w:r>
          </w:p>
        </w:tc>
        <w:tc>
          <w:tcPr>
            <w:tcW w:w="1041" w:type="dxa"/>
            <w:tcBorders>
              <w:top w:val="nil"/>
              <w:left w:val="nil"/>
              <w:bottom w:val="nil"/>
              <w:right w:val="single" w:sz="4" w:space="0" w:color="auto"/>
            </w:tcBorders>
            <w:shd w:val="clear" w:color="auto" w:fill="auto"/>
            <w:noWrap/>
            <w:vAlign w:val="bottom"/>
            <w:hideMark/>
          </w:tcPr>
          <w:p w14:paraId="2D55E2C7"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0.44</w:t>
            </w:r>
          </w:p>
        </w:tc>
      </w:tr>
      <w:tr w:rsidR="005E5E63" w:rsidRPr="007C740F" w14:paraId="46F73888" w14:textId="77777777" w:rsidTr="005E5E63">
        <w:trPr>
          <w:trHeight w:val="300"/>
          <w:jc w:val="center"/>
        </w:trPr>
        <w:tc>
          <w:tcPr>
            <w:tcW w:w="1129" w:type="dxa"/>
            <w:tcBorders>
              <w:top w:val="nil"/>
              <w:left w:val="single" w:sz="4" w:space="0" w:color="auto"/>
              <w:bottom w:val="nil"/>
              <w:right w:val="nil"/>
            </w:tcBorders>
            <w:shd w:val="clear" w:color="auto" w:fill="auto"/>
            <w:noWrap/>
            <w:vAlign w:val="bottom"/>
            <w:hideMark/>
          </w:tcPr>
          <w:p w14:paraId="6BC7CA84"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EMR</w:t>
            </w:r>
          </w:p>
        </w:tc>
        <w:tc>
          <w:tcPr>
            <w:tcW w:w="851" w:type="dxa"/>
            <w:tcBorders>
              <w:top w:val="nil"/>
              <w:left w:val="single" w:sz="4" w:space="0" w:color="auto"/>
              <w:bottom w:val="nil"/>
              <w:right w:val="single" w:sz="4" w:space="0" w:color="auto"/>
            </w:tcBorders>
            <w:shd w:val="clear" w:color="auto" w:fill="auto"/>
            <w:noWrap/>
            <w:vAlign w:val="bottom"/>
            <w:hideMark/>
          </w:tcPr>
          <w:p w14:paraId="6AB11134"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45.2</w:t>
            </w:r>
          </w:p>
        </w:tc>
        <w:tc>
          <w:tcPr>
            <w:tcW w:w="931" w:type="dxa"/>
            <w:tcBorders>
              <w:top w:val="nil"/>
              <w:left w:val="nil"/>
              <w:bottom w:val="nil"/>
              <w:right w:val="nil"/>
            </w:tcBorders>
            <w:shd w:val="clear" w:color="auto" w:fill="auto"/>
            <w:noWrap/>
            <w:vAlign w:val="bottom"/>
            <w:hideMark/>
          </w:tcPr>
          <w:p w14:paraId="25EDDD6C"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8.54</w:t>
            </w:r>
          </w:p>
        </w:tc>
        <w:tc>
          <w:tcPr>
            <w:tcW w:w="760" w:type="dxa"/>
            <w:tcBorders>
              <w:top w:val="nil"/>
              <w:left w:val="nil"/>
              <w:bottom w:val="nil"/>
              <w:right w:val="nil"/>
            </w:tcBorders>
            <w:shd w:val="clear" w:color="auto" w:fill="auto"/>
            <w:vAlign w:val="bottom"/>
            <w:hideMark/>
          </w:tcPr>
          <w:p w14:paraId="3154306F"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4.36</w:t>
            </w:r>
          </w:p>
        </w:tc>
        <w:tc>
          <w:tcPr>
            <w:tcW w:w="760" w:type="dxa"/>
            <w:tcBorders>
              <w:top w:val="nil"/>
              <w:left w:val="single" w:sz="4" w:space="0" w:color="auto"/>
              <w:bottom w:val="nil"/>
              <w:right w:val="nil"/>
            </w:tcBorders>
            <w:shd w:val="clear" w:color="auto" w:fill="auto"/>
            <w:noWrap/>
            <w:vAlign w:val="bottom"/>
            <w:hideMark/>
          </w:tcPr>
          <w:p w14:paraId="05D2CEA5"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18.9</w:t>
            </w:r>
          </w:p>
        </w:tc>
        <w:tc>
          <w:tcPr>
            <w:tcW w:w="760" w:type="dxa"/>
            <w:tcBorders>
              <w:top w:val="nil"/>
              <w:left w:val="nil"/>
              <w:bottom w:val="nil"/>
              <w:right w:val="single" w:sz="4" w:space="0" w:color="auto"/>
            </w:tcBorders>
            <w:shd w:val="clear" w:color="auto" w:fill="auto"/>
            <w:noWrap/>
            <w:vAlign w:val="bottom"/>
            <w:hideMark/>
          </w:tcPr>
          <w:p w14:paraId="034E4BE3"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8.9</w:t>
            </w:r>
          </w:p>
        </w:tc>
        <w:tc>
          <w:tcPr>
            <w:tcW w:w="1041" w:type="dxa"/>
            <w:tcBorders>
              <w:top w:val="nil"/>
              <w:left w:val="nil"/>
              <w:bottom w:val="nil"/>
              <w:right w:val="single" w:sz="4" w:space="0" w:color="auto"/>
            </w:tcBorders>
            <w:shd w:val="clear" w:color="auto" w:fill="auto"/>
            <w:noWrap/>
            <w:vAlign w:val="bottom"/>
            <w:hideMark/>
          </w:tcPr>
          <w:p w14:paraId="6DC202ED"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0.47</w:t>
            </w:r>
          </w:p>
        </w:tc>
      </w:tr>
      <w:tr w:rsidR="005E5E63" w:rsidRPr="007C740F" w14:paraId="296AB01B" w14:textId="77777777" w:rsidTr="005E5E63">
        <w:trPr>
          <w:trHeight w:val="300"/>
          <w:jc w:val="center"/>
        </w:trPr>
        <w:tc>
          <w:tcPr>
            <w:tcW w:w="1129" w:type="dxa"/>
            <w:tcBorders>
              <w:top w:val="nil"/>
              <w:left w:val="single" w:sz="4" w:space="0" w:color="auto"/>
              <w:bottom w:val="nil"/>
              <w:right w:val="nil"/>
            </w:tcBorders>
            <w:shd w:val="clear" w:color="auto" w:fill="auto"/>
            <w:noWrap/>
            <w:vAlign w:val="bottom"/>
            <w:hideMark/>
          </w:tcPr>
          <w:p w14:paraId="1540A2AF"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WPR</w:t>
            </w:r>
          </w:p>
        </w:tc>
        <w:tc>
          <w:tcPr>
            <w:tcW w:w="851" w:type="dxa"/>
            <w:tcBorders>
              <w:top w:val="nil"/>
              <w:left w:val="single" w:sz="4" w:space="0" w:color="auto"/>
              <w:bottom w:val="nil"/>
              <w:right w:val="single" w:sz="4" w:space="0" w:color="auto"/>
            </w:tcBorders>
            <w:shd w:val="clear" w:color="auto" w:fill="auto"/>
            <w:noWrap/>
            <w:vAlign w:val="bottom"/>
            <w:hideMark/>
          </w:tcPr>
          <w:p w14:paraId="6BADCEE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11.5</w:t>
            </w:r>
          </w:p>
        </w:tc>
        <w:tc>
          <w:tcPr>
            <w:tcW w:w="931" w:type="dxa"/>
            <w:tcBorders>
              <w:top w:val="nil"/>
              <w:left w:val="nil"/>
              <w:bottom w:val="nil"/>
              <w:right w:val="nil"/>
            </w:tcBorders>
            <w:shd w:val="clear" w:color="auto" w:fill="auto"/>
            <w:noWrap/>
            <w:vAlign w:val="bottom"/>
            <w:hideMark/>
          </w:tcPr>
          <w:p w14:paraId="05E7E1D2"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2.35</w:t>
            </w:r>
          </w:p>
        </w:tc>
        <w:tc>
          <w:tcPr>
            <w:tcW w:w="760" w:type="dxa"/>
            <w:tcBorders>
              <w:top w:val="nil"/>
              <w:left w:val="nil"/>
              <w:bottom w:val="nil"/>
              <w:right w:val="nil"/>
            </w:tcBorders>
            <w:shd w:val="clear" w:color="auto" w:fill="auto"/>
            <w:vAlign w:val="bottom"/>
            <w:hideMark/>
          </w:tcPr>
          <w:p w14:paraId="2BCEDDAD"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1.92</w:t>
            </w:r>
          </w:p>
        </w:tc>
        <w:tc>
          <w:tcPr>
            <w:tcW w:w="760" w:type="dxa"/>
            <w:tcBorders>
              <w:top w:val="nil"/>
              <w:left w:val="single" w:sz="4" w:space="0" w:color="auto"/>
              <w:bottom w:val="nil"/>
              <w:right w:val="nil"/>
            </w:tcBorders>
            <w:shd w:val="clear" w:color="auto" w:fill="auto"/>
            <w:noWrap/>
            <w:vAlign w:val="bottom"/>
            <w:hideMark/>
          </w:tcPr>
          <w:p w14:paraId="3A1B0C04"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20.4</w:t>
            </w:r>
          </w:p>
        </w:tc>
        <w:tc>
          <w:tcPr>
            <w:tcW w:w="760" w:type="dxa"/>
            <w:tcBorders>
              <w:top w:val="nil"/>
              <w:left w:val="nil"/>
              <w:bottom w:val="nil"/>
              <w:right w:val="single" w:sz="4" w:space="0" w:color="auto"/>
            </w:tcBorders>
            <w:shd w:val="clear" w:color="auto" w:fill="auto"/>
            <w:noWrap/>
            <w:vAlign w:val="bottom"/>
            <w:hideMark/>
          </w:tcPr>
          <w:p w14:paraId="3AA8CAF2"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13.9</w:t>
            </w:r>
          </w:p>
        </w:tc>
        <w:tc>
          <w:tcPr>
            <w:tcW w:w="1041" w:type="dxa"/>
            <w:tcBorders>
              <w:top w:val="nil"/>
              <w:left w:val="nil"/>
              <w:bottom w:val="nil"/>
              <w:right w:val="single" w:sz="4" w:space="0" w:color="auto"/>
            </w:tcBorders>
            <w:shd w:val="clear" w:color="auto" w:fill="auto"/>
            <w:noWrap/>
            <w:vAlign w:val="bottom"/>
            <w:hideMark/>
          </w:tcPr>
          <w:p w14:paraId="787E896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0.68</w:t>
            </w:r>
          </w:p>
        </w:tc>
      </w:tr>
      <w:tr w:rsidR="005E5E63" w:rsidRPr="007C740F" w14:paraId="546689FA" w14:textId="77777777" w:rsidTr="005E5E63">
        <w:trPr>
          <w:trHeight w:val="300"/>
          <w:jc w:val="center"/>
        </w:trPr>
        <w:tc>
          <w:tcPr>
            <w:tcW w:w="1129" w:type="dxa"/>
            <w:tcBorders>
              <w:top w:val="nil"/>
              <w:left w:val="single" w:sz="4" w:space="0" w:color="auto"/>
              <w:bottom w:val="nil"/>
              <w:right w:val="nil"/>
            </w:tcBorders>
            <w:shd w:val="clear" w:color="auto" w:fill="auto"/>
            <w:noWrap/>
            <w:vAlign w:val="bottom"/>
            <w:hideMark/>
          </w:tcPr>
          <w:p w14:paraId="7CF2B460"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EUR</w:t>
            </w:r>
          </w:p>
        </w:tc>
        <w:tc>
          <w:tcPr>
            <w:tcW w:w="851" w:type="dxa"/>
            <w:tcBorders>
              <w:top w:val="nil"/>
              <w:left w:val="single" w:sz="4" w:space="0" w:color="auto"/>
              <w:bottom w:val="nil"/>
              <w:right w:val="single" w:sz="4" w:space="0" w:color="auto"/>
            </w:tcBorders>
            <w:shd w:val="clear" w:color="auto" w:fill="auto"/>
            <w:noWrap/>
            <w:vAlign w:val="bottom"/>
            <w:hideMark/>
          </w:tcPr>
          <w:p w14:paraId="05FECC67"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7.3</w:t>
            </w:r>
          </w:p>
        </w:tc>
        <w:tc>
          <w:tcPr>
            <w:tcW w:w="931" w:type="dxa"/>
            <w:tcBorders>
              <w:top w:val="nil"/>
              <w:left w:val="nil"/>
              <w:bottom w:val="nil"/>
              <w:right w:val="nil"/>
            </w:tcBorders>
            <w:shd w:val="clear" w:color="auto" w:fill="auto"/>
            <w:noWrap/>
            <w:vAlign w:val="bottom"/>
            <w:hideMark/>
          </w:tcPr>
          <w:p w14:paraId="1AF432E8"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1.17</w:t>
            </w:r>
          </w:p>
        </w:tc>
        <w:tc>
          <w:tcPr>
            <w:tcW w:w="760" w:type="dxa"/>
            <w:tcBorders>
              <w:top w:val="nil"/>
              <w:left w:val="nil"/>
              <w:bottom w:val="nil"/>
              <w:right w:val="nil"/>
            </w:tcBorders>
            <w:shd w:val="clear" w:color="auto" w:fill="auto"/>
            <w:vAlign w:val="bottom"/>
            <w:hideMark/>
          </w:tcPr>
          <w:p w14:paraId="2551BD8F"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1.81</w:t>
            </w:r>
          </w:p>
        </w:tc>
        <w:tc>
          <w:tcPr>
            <w:tcW w:w="760" w:type="dxa"/>
            <w:tcBorders>
              <w:top w:val="nil"/>
              <w:left w:val="single" w:sz="4" w:space="0" w:color="auto"/>
              <w:bottom w:val="nil"/>
              <w:right w:val="nil"/>
            </w:tcBorders>
            <w:shd w:val="clear" w:color="auto" w:fill="auto"/>
            <w:noWrap/>
            <w:vAlign w:val="bottom"/>
            <w:hideMark/>
          </w:tcPr>
          <w:p w14:paraId="4BE1D12B"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15.9</w:t>
            </w:r>
          </w:p>
        </w:tc>
        <w:tc>
          <w:tcPr>
            <w:tcW w:w="760" w:type="dxa"/>
            <w:tcBorders>
              <w:top w:val="nil"/>
              <w:left w:val="nil"/>
              <w:bottom w:val="nil"/>
              <w:right w:val="single" w:sz="4" w:space="0" w:color="auto"/>
            </w:tcBorders>
            <w:shd w:val="clear" w:color="auto" w:fill="auto"/>
            <w:noWrap/>
            <w:vAlign w:val="bottom"/>
            <w:hideMark/>
          </w:tcPr>
          <w:p w14:paraId="31223DA2"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19.6</w:t>
            </w:r>
          </w:p>
        </w:tc>
        <w:tc>
          <w:tcPr>
            <w:tcW w:w="1041" w:type="dxa"/>
            <w:tcBorders>
              <w:top w:val="nil"/>
              <w:left w:val="nil"/>
              <w:bottom w:val="nil"/>
              <w:right w:val="single" w:sz="4" w:space="0" w:color="auto"/>
            </w:tcBorders>
            <w:shd w:val="clear" w:color="auto" w:fill="auto"/>
            <w:noWrap/>
            <w:vAlign w:val="bottom"/>
            <w:hideMark/>
          </w:tcPr>
          <w:p w14:paraId="09A32F9F"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1.23</w:t>
            </w:r>
          </w:p>
        </w:tc>
      </w:tr>
      <w:tr w:rsidR="005E5E63" w:rsidRPr="007C740F" w14:paraId="702B72A8" w14:textId="77777777" w:rsidTr="005E5E63">
        <w:trPr>
          <w:trHeight w:val="300"/>
          <w:jc w:val="center"/>
        </w:trPr>
        <w:tc>
          <w:tcPr>
            <w:tcW w:w="1129" w:type="dxa"/>
            <w:tcBorders>
              <w:top w:val="nil"/>
              <w:left w:val="single" w:sz="4" w:space="0" w:color="auto"/>
              <w:bottom w:val="single" w:sz="4" w:space="0" w:color="auto"/>
              <w:right w:val="nil"/>
            </w:tcBorders>
            <w:shd w:val="clear" w:color="auto" w:fill="auto"/>
            <w:noWrap/>
            <w:vAlign w:val="bottom"/>
            <w:hideMark/>
          </w:tcPr>
          <w:p w14:paraId="7CC823E4"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AMR</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15ED7F"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13.2</w:t>
            </w:r>
          </w:p>
        </w:tc>
        <w:tc>
          <w:tcPr>
            <w:tcW w:w="931" w:type="dxa"/>
            <w:tcBorders>
              <w:top w:val="nil"/>
              <w:left w:val="nil"/>
              <w:bottom w:val="single" w:sz="4" w:space="0" w:color="auto"/>
              <w:right w:val="nil"/>
            </w:tcBorders>
            <w:shd w:val="clear" w:color="auto" w:fill="auto"/>
            <w:noWrap/>
            <w:vAlign w:val="bottom"/>
            <w:hideMark/>
          </w:tcPr>
          <w:p w14:paraId="5544EAC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2.04</w:t>
            </w:r>
          </w:p>
        </w:tc>
        <w:tc>
          <w:tcPr>
            <w:tcW w:w="760" w:type="dxa"/>
            <w:tcBorders>
              <w:top w:val="nil"/>
              <w:left w:val="nil"/>
              <w:bottom w:val="single" w:sz="4" w:space="0" w:color="auto"/>
              <w:right w:val="nil"/>
            </w:tcBorders>
            <w:shd w:val="clear" w:color="auto" w:fill="auto"/>
            <w:vAlign w:val="bottom"/>
            <w:hideMark/>
          </w:tcPr>
          <w:p w14:paraId="4FF0366D"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3.20</w:t>
            </w:r>
          </w:p>
        </w:tc>
        <w:tc>
          <w:tcPr>
            <w:tcW w:w="760" w:type="dxa"/>
            <w:tcBorders>
              <w:top w:val="nil"/>
              <w:left w:val="single" w:sz="4" w:space="0" w:color="auto"/>
              <w:bottom w:val="single" w:sz="4" w:space="0" w:color="auto"/>
              <w:right w:val="nil"/>
            </w:tcBorders>
            <w:shd w:val="clear" w:color="auto" w:fill="auto"/>
            <w:noWrap/>
            <w:vAlign w:val="bottom"/>
            <w:hideMark/>
          </w:tcPr>
          <w:p w14:paraId="4D64D4C7"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15.4</w:t>
            </w:r>
          </w:p>
        </w:tc>
        <w:tc>
          <w:tcPr>
            <w:tcW w:w="760" w:type="dxa"/>
            <w:tcBorders>
              <w:top w:val="nil"/>
              <w:left w:val="nil"/>
              <w:bottom w:val="single" w:sz="4" w:space="0" w:color="auto"/>
              <w:right w:val="single" w:sz="4" w:space="0" w:color="auto"/>
            </w:tcBorders>
            <w:shd w:val="clear" w:color="auto" w:fill="auto"/>
            <w:noWrap/>
            <w:vAlign w:val="bottom"/>
            <w:hideMark/>
          </w:tcPr>
          <w:p w14:paraId="3043C6B0"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20.7</w:t>
            </w:r>
          </w:p>
        </w:tc>
        <w:tc>
          <w:tcPr>
            <w:tcW w:w="1041" w:type="dxa"/>
            <w:tcBorders>
              <w:top w:val="nil"/>
              <w:left w:val="nil"/>
              <w:bottom w:val="single" w:sz="4" w:space="0" w:color="auto"/>
              <w:right w:val="single" w:sz="4" w:space="0" w:color="auto"/>
            </w:tcBorders>
            <w:shd w:val="clear" w:color="auto" w:fill="auto"/>
            <w:noWrap/>
            <w:vAlign w:val="bottom"/>
            <w:hideMark/>
          </w:tcPr>
          <w:p w14:paraId="332A1319"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1.34</w:t>
            </w:r>
          </w:p>
        </w:tc>
      </w:tr>
      <w:tr w:rsidR="005E5E63" w:rsidRPr="007C740F" w14:paraId="40A8EBF5" w14:textId="77777777" w:rsidTr="00A0215E">
        <w:trPr>
          <w:trHeight w:val="315"/>
          <w:jc w:val="center"/>
        </w:trPr>
        <w:tc>
          <w:tcPr>
            <w:tcW w:w="1129" w:type="dxa"/>
            <w:tcBorders>
              <w:top w:val="single" w:sz="4" w:space="0" w:color="auto"/>
              <w:left w:val="single" w:sz="4" w:space="0" w:color="auto"/>
              <w:bottom w:val="double" w:sz="6" w:space="0" w:color="auto"/>
              <w:right w:val="nil"/>
            </w:tcBorders>
            <w:shd w:val="clear" w:color="auto" w:fill="auto"/>
            <w:noWrap/>
            <w:vAlign w:val="bottom"/>
            <w:hideMark/>
          </w:tcPr>
          <w:p w14:paraId="31D48173"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World</w:t>
            </w:r>
          </w:p>
        </w:tc>
        <w:tc>
          <w:tcPr>
            <w:tcW w:w="85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076DC70"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37.8</w:t>
            </w:r>
          </w:p>
        </w:tc>
        <w:tc>
          <w:tcPr>
            <w:tcW w:w="931" w:type="dxa"/>
            <w:tcBorders>
              <w:top w:val="single" w:sz="4" w:space="0" w:color="auto"/>
              <w:left w:val="nil"/>
              <w:bottom w:val="double" w:sz="6" w:space="0" w:color="auto"/>
              <w:right w:val="nil"/>
            </w:tcBorders>
            <w:shd w:val="clear" w:color="auto" w:fill="auto"/>
            <w:noWrap/>
            <w:vAlign w:val="bottom"/>
            <w:hideMark/>
          </w:tcPr>
          <w:p w14:paraId="2AF38F5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6.99</w:t>
            </w:r>
          </w:p>
        </w:tc>
        <w:tc>
          <w:tcPr>
            <w:tcW w:w="760" w:type="dxa"/>
            <w:tcBorders>
              <w:top w:val="single" w:sz="4" w:space="0" w:color="auto"/>
              <w:left w:val="nil"/>
              <w:bottom w:val="double" w:sz="6" w:space="0" w:color="auto"/>
              <w:right w:val="nil"/>
            </w:tcBorders>
            <w:shd w:val="clear" w:color="auto" w:fill="auto"/>
            <w:vAlign w:val="bottom"/>
            <w:hideMark/>
          </w:tcPr>
          <w:p w14:paraId="5CCF414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3.38</w:t>
            </w:r>
          </w:p>
        </w:tc>
        <w:tc>
          <w:tcPr>
            <w:tcW w:w="760" w:type="dxa"/>
            <w:tcBorders>
              <w:top w:val="single" w:sz="4" w:space="0" w:color="auto"/>
              <w:left w:val="single" w:sz="4" w:space="0" w:color="auto"/>
              <w:bottom w:val="double" w:sz="6" w:space="0" w:color="auto"/>
              <w:right w:val="nil"/>
            </w:tcBorders>
            <w:shd w:val="clear" w:color="auto" w:fill="auto"/>
            <w:noWrap/>
            <w:vAlign w:val="bottom"/>
            <w:hideMark/>
          </w:tcPr>
          <w:p w14:paraId="1608ACAC"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18.5</w:t>
            </w:r>
          </w:p>
        </w:tc>
        <w:tc>
          <w:tcPr>
            <w:tcW w:w="760" w:type="dxa"/>
            <w:tcBorders>
              <w:top w:val="single" w:sz="4" w:space="0" w:color="auto"/>
              <w:left w:val="nil"/>
              <w:bottom w:val="double" w:sz="6" w:space="0" w:color="auto"/>
              <w:right w:val="single" w:sz="4" w:space="0" w:color="auto"/>
            </w:tcBorders>
            <w:shd w:val="clear" w:color="auto" w:fill="auto"/>
            <w:noWrap/>
            <w:vAlign w:val="bottom"/>
            <w:hideMark/>
          </w:tcPr>
          <w:p w14:paraId="65D4EE77"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8.5</w:t>
            </w:r>
          </w:p>
        </w:tc>
        <w:tc>
          <w:tcPr>
            <w:tcW w:w="1041" w:type="dxa"/>
            <w:tcBorders>
              <w:top w:val="single" w:sz="4" w:space="0" w:color="auto"/>
              <w:left w:val="nil"/>
              <w:bottom w:val="double" w:sz="6" w:space="0" w:color="auto"/>
              <w:right w:val="single" w:sz="4" w:space="0" w:color="auto"/>
            </w:tcBorders>
            <w:shd w:val="clear" w:color="auto" w:fill="auto"/>
            <w:noWrap/>
            <w:vAlign w:val="bottom"/>
            <w:hideMark/>
          </w:tcPr>
          <w:p w14:paraId="34CD3CF9"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0.46</w:t>
            </w:r>
          </w:p>
        </w:tc>
      </w:tr>
      <w:tr w:rsidR="005E5E63" w:rsidRPr="007C740F" w14:paraId="5A78CA11" w14:textId="77777777" w:rsidTr="00A0215E">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B70E521" w14:textId="77777777" w:rsidR="005E5E63" w:rsidRPr="007C740F" w:rsidRDefault="005E5E63" w:rsidP="005E5E63">
            <w:pPr>
              <w:spacing w:after="0" w:line="240" w:lineRule="auto"/>
              <w:rPr>
                <w:rFonts w:eastAsia="Times New Roman" w:cstheme="minorHAnsi"/>
                <w:color w:val="000000"/>
                <w:sz w:val="18"/>
                <w:szCs w:val="18"/>
                <w:lang w:eastAsia="en-GB"/>
              </w:rPr>
            </w:pPr>
            <w:r w:rsidRPr="007C740F">
              <w:rPr>
                <w:rFonts w:eastAsia="Times New Roman" w:cstheme="minorHAnsi"/>
                <w:color w:val="000000"/>
                <w:sz w:val="18"/>
                <w:szCs w:val="18"/>
                <w:lang w:eastAsia="en-GB"/>
              </w:rPr>
              <w:t>W Europe</w:t>
            </w:r>
          </w:p>
        </w:tc>
        <w:tc>
          <w:tcPr>
            <w:tcW w:w="851" w:type="dxa"/>
            <w:tcBorders>
              <w:top w:val="double" w:sz="6" w:space="0" w:color="auto"/>
              <w:left w:val="single" w:sz="4" w:space="0" w:color="auto"/>
              <w:bottom w:val="single" w:sz="4" w:space="0" w:color="auto"/>
              <w:right w:val="nil"/>
            </w:tcBorders>
            <w:shd w:val="clear" w:color="auto" w:fill="auto"/>
            <w:noWrap/>
            <w:vAlign w:val="bottom"/>
            <w:hideMark/>
          </w:tcPr>
          <w:p w14:paraId="2512F5A3"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3.6</w:t>
            </w:r>
          </w:p>
        </w:tc>
        <w:tc>
          <w:tcPr>
            <w:tcW w:w="931" w:type="dxa"/>
            <w:tcBorders>
              <w:top w:val="nil"/>
              <w:left w:val="nil"/>
              <w:bottom w:val="single" w:sz="4" w:space="0" w:color="auto"/>
              <w:right w:val="nil"/>
            </w:tcBorders>
            <w:shd w:val="clear" w:color="auto" w:fill="auto"/>
            <w:noWrap/>
            <w:vAlign w:val="bottom"/>
            <w:hideMark/>
          </w:tcPr>
          <w:p w14:paraId="63662F1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0.67</w:t>
            </w:r>
          </w:p>
        </w:tc>
        <w:tc>
          <w:tcPr>
            <w:tcW w:w="760" w:type="dxa"/>
            <w:tcBorders>
              <w:top w:val="nil"/>
              <w:left w:val="nil"/>
              <w:bottom w:val="single" w:sz="4" w:space="0" w:color="auto"/>
              <w:right w:val="nil"/>
            </w:tcBorders>
            <w:shd w:val="clear" w:color="auto" w:fill="auto"/>
            <w:vAlign w:val="bottom"/>
            <w:hideMark/>
          </w:tcPr>
          <w:p w14:paraId="6229DDD2"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0.96</w:t>
            </w:r>
          </w:p>
        </w:tc>
        <w:tc>
          <w:tcPr>
            <w:tcW w:w="760" w:type="dxa"/>
            <w:tcBorders>
              <w:top w:val="nil"/>
              <w:left w:val="single" w:sz="4" w:space="0" w:color="auto"/>
              <w:bottom w:val="single" w:sz="4" w:space="0" w:color="auto"/>
              <w:right w:val="nil"/>
            </w:tcBorders>
            <w:shd w:val="clear" w:color="auto" w:fill="auto"/>
            <w:noWrap/>
            <w:vAlign w:val="bottom"/>
            <w:hideMark/>
          </w:tcPr>
          <w:p w14:paraId="7B2FB846"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18.7</w:t>
            </w:r>
          </w:p>
        </w:tc>
        <w:tc>
          <w:tcPr>
            <w:tcW w:w="760" w:type="dxa"/>
            <w:tcBorders>
              <w:top w:val="nil"/>
              <w:left w:val="nil"/>
              <w:bottom w:val="single" w:sz="4" w:space="0" w:color="auto"/>
              <w:right w:val="single" w:sz="4" w:space="0" w:color="auto"/>
            </w:tcBorders>
            <w:shd w:val="clear" w:color="auto" w:fill="auto"/>
            <w:noWrap/>
            <w:vAlign w:val="bottom"/>
            <w:hideMark/>
          </w:tcPr>
          <w:p w14:paraId="70BD405A"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27.2</w:t>
            </w:r>
          </w:p>
        </w:tc>
        <w:tc>
          <w:tcPr>
            <w:tcW w:w="1041" w:type="dxa"/>
            <w:tcBorders>
              <w:top w:val="nil"/>
              <w:left w:val="nil"/>
              <w:bottom w:val="single" w:sz="4" w:space="0" w:color="auto"/>
              <w:right w:val="single" w:sz="4" w:space="0" w:color="auto"/>
            </w:tcBorders>
            <w:shd w:val="clear" w:color="auto" w:fill="auto"/>
            <w:noWrap/>
            <w:vAlign w:val="bottom"/>
            <w:hideMark/>
          </w:tcPr>
          <w:p w14:paraId="275A9E54" w14:textId="77777777" w:rsidR="005E5E63" w:rsidRPr="007C740F" w:rsidRDefault="005E5E63" w:rsidP="005E5E63">
            <w:pPr>
              <w:spacing w:after="0" w:line="240" w:lineRule="auto"/>
              <w:jc w:val="center"/>
              <w:rPr>
                <w:rFonts w:eastAsia="Times New Roman" w:cstheme="minorHAnsi"/>
                <w:color w:val="000000"/>
                <w:sz w:val="18"/>
                <w:szCs w:val="18"/>
                <w:lang w:eastAsia="en-GB"/>
              </w:rPr>
            </w:pPr>
            <w:r w:rsidRPr="007C740F">
              <w:rPr>
                <w:rFonts w:eastAsia="Times New Roman" w:cstheme="minorHAnsi"/>
                <w:color w:val="000000"/>
                <w:sz w:val="18"/>
                <w:szCs w:val="18"/>
                <w:lang w:eastAsia="en-GB"/>
              </w:rPr>
              <w:t>1.46</w:t>
            </w:r>
          </w:p>
        </w:tc>
      </w:tr>
    </w:tbl>
    <w:p w14:paraId="5F661AF8" w14:textId="77777777" w:rsidR="005E5E63" w:rsidRPr="007C740F" w:rsidRDefault="005E5E63" w:rsidP="00576A24">
      <w:pPr>
        <w:pStyle w:val="BodyText1"/>
        <w:ind w:left="357"/>
        <w:rPr>
          <w:sz w:val="20"/>
          <w:szCs w:val="20"/>
        </w:rPr>
      </w:pPr>
    </w:p>
    <w:p w14:paraId="4FE0C873" w14:textId="5C108CB9" w:rsidR="00920437" w:rsidRPr="007C740F" w:rsidRDefault="00E34900" w:rsidP="00920437">
      <w:pPr>
        <w:pStyle w:val="BodyText1"/>
      </w:pPr>
      <w:r w:rsidRPr="007C740F">
        <w:t xml:space="preserve">At the global level GBD estimates are only half those of the MGDb, but they are higher than MGDb estimates for higher income regions and much lower for lower income regions. </w:t>
      </w:r>
      <w:r w:rsidR="00D56326" w:rsidRPr="007C740F">
        <w:t xml:space="preserve">The </w:t>
      </w:r>
      <w:r w:rsidR="00D56326" w:rsidRPr="007C740F">
        <w:lastRenderedPageBreak/>
        <w:t xml:space="preserve">implications of this </w:t>
      </w:r>
      <w:r w:rsidR="00AD657D" w:rsidRPr="007C740F">
        <w:t xml:space="preserve">difference </w:t>
      </w:r>
      <w:r w:rsidR="00D56326" w:rsidRPr="007C740F">
        <w:t>are discussed in Article 16, Comparison of MGDb and GBD estimates.</w:t>
      </w:r>
    </w:p>
    <w:p w14:paraId="42F44AEA" w14:textId="638B3C43" w:rsidR="009B572A" w:rsidRPr="007C740F" w:rsidRDefault="00576A24" w:rsidP="00F555B6">
      <w:pPr>
        <w:pStyle w:val="BodyText1"/>
        <w:jc w:val="both"/>
      </w:pPr>
      <w:r w:rsidRPr="007C740F">
        <w:t>A</w:t>
      </w:r>
      <w:r w:rsidR="00E34900" w:rsidRPr="007C740F">
        <w:t>nother</w:t>
      </w:r>
      <w:r w:rsidRPr="007C740F">
        <w:t xml:space="preserve"> reason for concern is that </w:t>
      </w:r>
      <w:r w:rsidR="00AD657D" w:rsidRPr="007C740F">
        <w:t xml:space="preserve">though </w:t>
      </w:r>
      <w:r w:rsidRPr="007C740F">
        <w:t xml:space="preserve">the GBD </w:t>
      </w:r>
      <w:r w:rsidR="00C975DD" w:rsidRPr="007C740F">
        <w:t xml:space="preserve">mortality </w:t>
      </w:r>
      <w:r w:rsidRPr="007C740F">
        <w:t xml:space="preserve">estimates only </w:t>
      </w:r>
      <w:r w:rsidR="00BA4CF0" w:rsidRPr="007C740F">
        <w:t>apply for</w:t>
      </w:r>
      <w:r w:rsidR="00E74B7C" w:rsidRPr="007C740F">
        <w:t xml:space="preserve"> </w:t>
      </w:r>
      <w:r w:rsidRPr="007C740F">
        <w:rPr>
          <w:i/>
          <w:iCs/>
        </w:rPr>
        <w:t>congenital anomalies</w:t>
      </w:r>
      <w:r w:rsidRPr="007C740F">
        <w:rPr>
          <w:i/>
        </w:rPr>
        <w:t xml:space="preserve"> </w:t>
      </w:r>
      <w:r w:rsidR="00AD657D" w:rsidRPr="007C740F">
        <w:rPr>
          <w:iCs/>
        </w:rPr>
        <w:t xml:space="preserve">they </w:t>
      </w:r>
      <w:r w:rsidRPr="007C740F">
        <w:t xml:space="preserve">are widely understood to </w:t>
      </w:r>
      <w:r w:rsidR="00BA4CF0" w:rsidRPr="007C740F">
        <w:t xml:space="preserve">cover </w:t>
      </w:r>
      <w:r w:rsidRPr="007C740F">
        <w:t xml:space="preserve">all </w:t>
      </w:r>
      <w:r w:rsidRPr="007C740F">
        <w:rPr>
          <w:i/>
          <w:iCs/>
        </w:rPr>
        <w:t>congenital disorders</w:t>
      </w:r>
      <w:r w:rsidRPr="007C740F">
        <w:t>.</w:t>
      </w:r>
      <w:r w:rsidR="009B572A" w:rsidRPr="007C740F">
        <w:t xml:space="preserve"> Table </w:t>
      </w:r>
      <w:r w:rsidR="00576058" w:rsidRPr="007C740F">
        <w:t>1</w:t>
      </w:r>
      <w:r w:rsidR="00F6306A" w:rsidRPr="007C740F">
        <w:t>6</w:t>
      </w:r>
      <w:r w:rsidR="009B572A" w:rsidRPr="007C740F">
        <w:t xml:space="preserve"> </w:t>
      </w:r>
      <w:r w:rsidR="00BA4CF0" w:rsidRPr="007C740F">
        <w:t>shows</w:t>
      </w:r>
      <w:r w:rsidR="00AD657D" w:rsidRPr="007C740F">
        <w:t xml:space="preserve"> </w:t>
      </w:r>
      <w:r w:rsidR="007D646E" w:rsidRPr="007C740F">
        <w:t xml:space="preserve">the </w:t>
      </w:r>
      <w:r w:rsidR="00AD657D" w:rsidRPr="007C740F">
        <w:t xml:space="preserve">MGDb 2020-24 </w:t>
      </w:r>
      <w:r w:rsidR="00F82890" w:rsidRPr="007C740F">
        <w:t>estimate</w:t>
      </w:r>
      <w:r w:rsidR="00AD657D" w:rsidRPr="007C740F">
        <w:t xml:space="preserve"> of </w:t>
      </w:r>
      <w:r w:rsidR="00BA4CF0" w:rsidRPr="007C740F">
        <w:t xml:space="preserve">additional </w:t>
      </w:r>
      <w:r w:rsidR="00AD657D" w:rsidRPr="007C740F">
        <w:t xml:space="preserve">under-5 deaths due to </w:t>
      </w:r>
      <w:r w:rsidR="007D646E" w:rsidRPr="007C740F">
        <w:t>single gene disorders</w:t>
      </w:r>
      <w:r w:rsidR="00AD657D" w:rsidRPr="007C740F">
        <w:t xml:space="preserve">. </w:t>
      </w:r>
      <w:r w:rsidR="00BA4CF0" w:rsidRPr="007C740F">
        <w:t>There are large r</w:t>
      </w:r>
      <w:r w:rsidR="00AD657D" w:rsidRPr="007C740F">
        <w:t xml:space="preserve">egional differences </w:t>
      </w:r>
      <w:r w:rsidR="00BA4CF0" w:rsidRPr="007C740F">
        <w:t xml:space="preserve">due to </w:t>
      </w:r>
      <w:r w:rsidR="00AD657D" w:rsidRPr="007C740F">
        <w:t>the</w:t>
      </w:r>
      <w:r w:rsidR="00C20FFD" w:rsidRPr="007C740F">
        <w:t xml:space="preserve"> uneven distribution of haemoglobin disorders and parental consanguinity</w:t>
      </w:r>
      <w:r w:rsidR="00AD657D" w:rsidRPr="007C740F">
        <w:t xml:space="preserve">, </w:t>
      </w:r>
      <w:r w:rsidR="00C20FFD" w:rsidRPr="007C740F">
        <w:t>but the global</w:t>
      </w:r>
      <w:r w:rsidR="009B572A" w:rsidRPr="007C740F">
        <w:t xml:space="preserve"> </w:t>
      </w:r>
      <w:r w:rsidR="007D646E" w:rsidRPr="007C740F">
        <w:t>estimate of 6.8</w:t>
      </w:r>
      <w:r w:rsidR="00E74BBC" w:rsidRPr="007C740F">
        <w:t>/1,000</w:t>
      </w:r>
      <w:r w:rsidR="007D646E" w:rsidRPr="007C740F">
        <w:t xml:space="preserve"> is close to </w:t>
      </w:r>
      <w:r w:rsidR="00AD657D" w:rsidRPr="007C740F">
        <w:t xml:space="preserve">the 7/1,000 estimate </w:t>
      </w:r>
      <w:r w:rsidR="007D646E" w:rsidRPr="007C740F">
        <w:t>for total congenital anomalies.</w:t>
      </w:r>
      <w:r w:rsidR="00AD657D" w:rsidRPr="007C740F">
        <w:t xml:space="preserve"> </w:t>
      </w:r>
      <w:r w:rsidR="00BA4CF0" w:rsidRPr="007C740F">
        <w:t>Even if t</w:t>
      </w:r>
      <w:r w:rsidR="00F82890" w:rsidRPr="007C740F">
        <w:t>h</w:t>
      </w:r>
      <w:r w:rsidR="00C20FFD" w:rsidRPr="007C740F">
        <w:t xml:space="preserve">ere </w:t>
      </w:r>
      <w:r w:rsidR="00BA4CF0" w:rsidRPr="007C740F">
        <w:t xml:space="preserve">is </w:t>
      </w:r>
      <w:r w:rsidR="00C20FFD" w:rsidRPr="007C740F">
        <w:t xml:space="preserve">some </w:t>
      </w:r>
      <w:r w:rsidR="00AC5C81" w:rsidRPr="007C740F">
        <w:t xml:space="preserve">over-estimation </w:t>
      </w:r>
      <w:r w:rsidR="00C20FFD" w:rsidRPr="007C740F">
        <w:t>i</w:t>
      </w:r>
      <w:r w:rsidR="00AD657D" w:rsidRPr="007C740F">
        <w:t xml:space="preserve">n the </w:t>
      </w:r>
      <w:r w:rsidR="00AC5C81" w:rsidRPr="007C740F">
        <w:t xml:space="preserve">MGDb </w:t>
      </w:r>
      <w:r w:rsidR="00AD657D" w:rsidRPr="007C740F">
        <w:t xml:space="preserve">estimates </w:t>
      </w:r>
      <w:r w:rsidR="00AC5C81" w:rsidRPr="007C740F">
        <w:t xml:space="preserve">it is clear that </w:t>
      </w:r>
      <w:r w:rsidR="00C20FFD" w:rsidRPr="007C740F">
        <w:t xml:space="preserve">single gene </w:t>
      </w:r>
      <w:r w:rsidR="00AC5C81" w:rsidRPr="007C740F">
        <w:t>disorders make a major but overlooked contribution to early mortality</w:t>
      </w:r>
      <w:r w:rsidR="00AD657D" w:rsidRPr="007C740F">
        <w:t xml:space="preserve"> due to congenital disorders</w:t>
      </w:r>
      <w:r w:rsidR="00AC5C81" w:rsidRPr="007C740F">
        <w:t>.</w:t>
      </w:r>
    </w:p>
    <w:p w14:paraId="6727ED30" w14:textId="51F34BFE" w:rsidR="009B572A" w:rsidRPr="007C740F" w:rsidRDefault="00B31962" w:rsidP="00A0215E">
      <w:pPr>
        <w:pStyle w:val="Tableheader"/>
      </w:pPr>
      <w:r w:rsidRPr="007C740F">
        <w:t>Table 1</w:t>
      </w:r>
      <w:r w:rsidR="00F6306A" w:rsidRPr="007C740F">
        <w:t>6</w:t>
      </w:r>
      <w:r w:rsidRPr="007C740F">
        <w:t>. MGDb estimates of the contribution of congenital anomalies and single gene disorders to total under-5 mortality (2020-24)</w:t>
      </w:r>
    </w:p>
    <w:tbl>
      <w:tblPr>
        <w:tblW w:w="7501" w:type="dxa"/>
        <w:jc w:val="center"/>
        <w:tblLook w:val="04A0" w:firstRow="1" w:lastRow="0" w:firstColumn="1" w:lastColumn="0" w:noHBand="0" w:noVBand="1"/>
      </w:tblPr>
      <w:tblGrid>
        <w:gridCol w:w="960"/>
        <w:gridCol w:w="960"/>
        <w:gridCol w:w="965"/>
        <w:gridCol w:w="796"/>
        <w:gridCol w:w="935"/>
        <w:gridCol w:w="965"/>
        <w:gridCol w:w="960"/>
        <w:gridCol w:w="960"/>
      </w:tblGrid>
      <w:tr w:rsidR="00B31962" w:rsidRPr="007C740F" w14:paraId="26AB0A50" w14:textId="77777777" w:rsidTr="00A0215E">
        <w:trPr>
          <w:trHeight w:val="284"/>
          <w:jc w:val="center"/>
        </w:trPr>
        <w:tc>
          <w:tcPr>
            <w:tcW w:w="960" w:type="dxa"/>
            <w:vMerge w:val="restart"/>
            <w:tcBorders>
              <w:top w:val="single" w:sz="4" w:space="0" w:color="auto"/>
              <w:left w:val="single" w:sz="4" w:space="0" w:color="auto"/>
              <w:right w:val="nil"/>
            </w:tcBorders>
            <w:shd w:val="clear" w:color="auto" w:fill="auto"/>
            <w:vAlign w:val="bottom"/>
          </w:tcPr>
          <w:p w14:paraId="5ED49E54" w14:textId="39B76B40" w:rsidR="00B31962" w:rsidRPr="007C740F" w:rsidRDefault="00B31962" w:rsidP="00BD14F8">
            <w:pPr>
              <w:spacing w:after="0" w:line="240" w:lineRule="auto"/>
              <w:rPr>
                <w:rFonts w:ascii="Calibri Light" w:eastAsia="Times New Roman" w:hAnsi="Calibri Light" w:cs="Calibri Light"/>
                <w:color w:val="000000"/>
                <w:sz w:val="18"/>
                <w:szCs w:val="18"/>
                <w:lang w:eastAsia="en-GB"/>
              </w:rPr>
            </w:pPr>
            <w:r w:rsidRPr="007C740F">
              <w:rPr>
                <w:rFonts w:ascii="Calibri Light" w:eastAsia="Times New Roman" w:hAnsi="Calibri Light" w:cs="Calibri Light"/>
                <w:color w:val="000000"/>
                <w:sz w:val="18"/>
                <w:szCs w:val="18"/>
                <w:lang w:eastAsia="en-GB"/>
              </w:rPr>
              <w:t>WHO</w:t>
            </w:r>
            <w:r w:rsidR="007D646E" w:rsidRPr="007C740F">
              <w:rPr>
                <w:rFonts w:ascii="Calibri Light" w:eastAsia="Times New Roman" w:hAnsi="Calibri Light" w:cs="Calibri Light"/>
                <w:color w:val="000000"/>
                <w:sz w:val="18"/>
                <w:szCs w:val="18"/>
                <w:lang w:eastAsia="en-GB"/>
              </w:rPr>
              <w:t xml:space="preserve"> </w:t>
            </w:r>
            <w:r w:rsidRPr="007C740F">
              <w:rPr>
                <w:rFonts w:ascii="Calibri Light" w:eastAsia="Times New Roman" w:hAnsi="Calibri Light" w:cs="Calibri Light"/>
                <w:color w:val="000000"/>
                <w:sz w:val="18"/>
                <w:szCs w:val="18"/>
                <w:lang w:eastAsia="en-GB"/>
              </w:rPr>
              <w:t>region</w:t>
            </w:r>
          </w:p>
        </w:tc>
        <w:tc>
          <w:tcPr>
            <w:tcW w:w="960" w:type="dxa"/>
            <w:vMerge w:val="restart"/>
            <w:tcBorders>
              <w:top w:val="single" w:sz="4" w:space="0" w:color="auto"/>
              <w:left w:val="single" w:sz="4" w:space="0" w:color="auto"/>
              <w:right w:val="nil"/>
            </w:tcBorders>
            <w:shd w:val="clear" w:color="auto" w:fill="auto"/>
            <w:vAlign w:val="bottom"/>
          </w:tcPr>
          <w:p w14:paraId="1DCAE053" w14:textId="5DAF4EEE"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WPP Under-5 deaths /1,000</w:t>
            </w: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A412E59" w14:textId="3E5CA954"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Under-5 deaths /1,000</w:t>
            </w:r>
          </w:p>
        </w:tc>
        <w:tc>
          <w:tcPr>
            <w:tcW w:w="2885" w:type="dxa"/>
            <w:gridSpan w:val="3"/>
            <w:tcBorders>
              <w:top w:val="single" w:sz="4" w:space="0" w:color="auto"/>
              <w:left w:val="nil"/>
              <w:bottom w:val="single" w:sz="4" w:space="0" w:color="auto"/>
              <w:right w:val="single" w:sz="4" w:space="0" w:color="auto"/>
            </w:tcBorders>
            <w:shd w:val="clear" w:color="auto" w:fill="auto"/>
            <w:vAlign w:val="bottom"/>
          </w:tcPr>
          <w:p w14:paraId="24212592" w14:textId="3FB3F983"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Proportion of total under-5 deaths</w:t>
            </w:r>
          </w:p>
        </w:tc>
      </w:tr>
      <w:tr w:rsidR="00B31962" w:rsidRPr="007C740F" w14:paraId="030BB876" w14:textId="77777777" w:rsidTr="00A0215E">
        <w:trPr>
          <w:trHeight w:val="284"/>
          <w:jc w:val="center"/>
        </w:trPr>
        <w:tc>
          <w:tcPr>
            <w:tcW w:w="960" w:type="dxa"/>
            <w:vMerge/>
            <w:tcBorders>
              <w:left w:val="single" w:sz="4" w:space="0" w:color="auto"/>
              <w:bottom w:val="single" w:sz="4" w:space="0" w:color="auto"/>
              <w:right w:val="nil"/>
            </w:tcBorders>
            <w:shd w:val="clear" w:color="auto" w:fill="auto"/>
            <w:vAlign w:val="bottom"/>
            <w:hideMark/>
          </w:tcPr>
          <w:p w14:paraId="504302F1" w14:textId="1EB6E124" w:rsidR="00B31962" w:rsidRPr="007C740F" w:rsidRDefault="00B31962" w:rsidP="00BD14F8">
            <w:pPr>
              <w:spacing w:after="0" w:line="240" w:lineRule="auto"/>
              <w:rPr>
                <w:rFonts w:ascii="Calibri Light" w:eastAsia="Times New Roman" w:hAnsi="Calibri Light" w:cs="Calibri Light"/>
                <w:color w:val="000000"/>
                <w:sz w:val="18"/>
                <w:szCs w:val="18"/>
                <w:lang w:eastAsia="en-GB"/>
              </w:rPr>
            </w:pPr>
          </w:p>
        </w:tc>
        <w:tc>
          <w:tcPr>
            <w:tcW w:w="960" w:type="dxa"/>
            <w:vMerge/>
            <w:tcBorders>
              <w:left w:val="single" w:sz="4" w:space="0" w:color="auto"/>
              <w:bottom w:val="single" w:sz="4" w:space="0" w:color="auto"/>
              <w:right w:val="nil"/>
            </w:tcBorders>
            <w:shd w:val="clear" w:color="auto" w:fill="auto"/>
            <w:vAlign w:val="bottom"/>
            <w:hideMark/>
          </w:tcPr>
          <w:p w14:paraId="35D4B284" w14:textId="074ADA8F"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p>
        </w:tc>
        <w:tc>
          <w:tcPr>
            <w:tcW w:w="965" w:type="dxa"/>
            <w:tcBorders>
              <w:top w:val="single" w:sz="4" w:space="0" w:color="auto"/>
              <w:left w:val="single" w:sz="4" w:space="0" w:color="auto"/>
              <w:bottom w:val="single" w:sz="4" w:space="0" w:color="auto"/>
              <w:right w:val="nil"/>
            </w:tcBorders>
            <w:shd w:val="clear" w:color="auto" w:fill="auto"/>
            <w:vAlign w:val="bottom"/>
            <w:hideMark/>
          </w:tcPr>
          <w:p w14:paraId="3BD13910" w14:textId="77777777"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 anomalies</w:t>
            </w:r>
          </w:p>
        </w:tc>
        <w:tc>
          <w:tcPr>
            <w:tcW w:w="796" w:type="dxa"/>
            <w:tcBorders>
              <w:top w:val="single" w:sz="4" w:space="0" w:color="auto"/>
              <w:left w:val="nil"/>
              <w:bottom w:val="single" w:sz="4" w:space="0" w:color="auto"/>
              <w:right w:val="nil"/>
            </w:tcBorders>
            <w:shd w:val="clear" w:color="auto" w:fill="auto"/>
            <w:vAlign w:val="bottom"/>
            <w:hideMark/>
          </w:tcPr>
          <w:p w14:paraId="6486DCBF" w14:textId="559CEBE2"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Total single gene </w:t>
            </w:r>
          </w:p>
        </w:tc>
        <w:tc>
          <w:tcPr>
            <w:tcW w:w="935" w:type="dxa"/>
            <w:tcBorders>
              <w:top w:val="single" w:sz="4" w:space="0" w:color="auto"/>
              <w:left w:val="nil"/>
              <w:bottom w:val="single" w:sz="4" w:space="0" w:color="auto"/>
              <w:right w:val="single" w:sz="4" w:space="0" w:color="auto"/>
            </w:tcBorders>
            <w:shd w:val="clear" w:color="auto" w:fill="auto"/>
            <w:vAlign w:val="bottom"/>
            <w:hideMark/>
          </w:tcPr>
          <w:p w14:paraId="24CF8599" w14:textId="3CDD6280" w:rsidR="00B31962" w:rsidRPr="007C740F" w:rsidRDefault="007D646E"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w:t>
            </w:r>
            <w:r w:rsidR="00B31962" w:rsidRPr="007C740F">
              <w:rPr>
                <w:rFonts w:ascii="Calibri" w:eastAsia="Times New Roman" w:hAnsi="Calibri" w:cs="Calibri"/>
                <w:color w:val="000000"/>
                <w:sz w:val="18"/>
                <w:szCs w:val="18"/>
                <w:lang w:eastAsia="en-GB"/>
              </w:rPr>
              <w:t xml:space="preserve"> &amp; single gene</w:t>
            </w:r>
          </w:p>
        </w:tc>
        <w:tc>
          <w:tcPr>
            <w:tcW w:w="965" w:type="dxa"/>
            <w:tcBorders>
              <w:top w:val="single" w:sz="4" w:space="0" w:color="auto"/>
              <w:left w:val="nil"/>
              <w:bottom w:val="single" w:sz="4" w:space="0" w:color="auto"/>
              <w:right w:val="nil"/>
            </w:tcBorders>
            <w:shd w:val="clear" w:color="auto" w:fill="auto"/>
            <w:vAlign w:val="bottom"/>
            <w:hideMark/>
          </w:tcPr>
          <w:p w14:paraId="4844FBE0" w14:textId="77777777"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 anomalies</w:t>
            </w:r>
          </w:p>
        </w:tc>
        <w:tc>
          <w:tcPr>
            <w:tcW w:w="960" w:type="dxa"/>
            <w:tcBorders>
              <w:top w:val="single" w:sz="4" w:space="0" w:color="auto"/>
              <w:left w:val="nil"/>
              <w:bottom w:val="single" w:sz="4" w:space="0" w:color="auto"/>
              <w:right w:val="nil"/>
            </w:tcBorders>
            <w:shd w:val="clear" w:color="auto" w:fill="auto"/>
            <w:vAlign w:val="bottom"/>
            <w:hideMark/>
          </w:tcPr>
          <w:p w14:paraId="197F8A2F" w14:textId="655A9482" w:rsidR="00B31962" w:rsidRPr="007C740F" w:rsidRDefault="00B31962"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Total single gene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CE4DD54" w14:textId="54ECA4B0" w:rsidR="00B31962" w:rsidRPr="007C740F" w:rsidRDefault="007D646E"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CA &amp; single gene</w:t>
            </w:r>
          </w:p>
        </w:tc>
      </w:tr>
      <w:tr w:rsidR="00BD14F8" w:rsidRPr="007C740F" w14:paraId="57E8466E"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73B02B48"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AFR </w:t>
            </w:r>
          </w:p>
        </w:tc>
        <w:tc>
          <w:tcPr>
            <w:tcW w:w="960" w:type="dxa"/>
            <w:tcBorders>
              <w:top w:val="nil"/>
              <w:left w:val="single" w:sz="4" w:space="0" w:color="auto"/>
              <w:bottom w:val="nil"/>
              <w:right w:val="nil"/>
            </w:tcBorders>
            <w:shd w:val="clear" w:color="auto" w:fill="auto"/>
            <w:noWrap/>
            <w:vAlign w:val="bottom"/>
            <w:hideMark/>
          </w:tcPr>
          <w:p w14:paraId="48794DA3"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70.1</w:t>
            </w:r>
          </w:p>
        </w:tc>
        <w:tc>
          <w:tcPr>
            <w:tcW w:w="965" w:type="dxa"/>
            <w:tcBorders>
              <w:top w:val="nil"/>
              <w:left w:val="single" w:sz="4" w:space="0" w:color="auto"/>
              <w:bottom w:val="nil"/>
              <w:right w:val="nil"/>
            </w:tcBorders>
            <w:shd w:val="clear" w:color="auto" w:fill="auto"/>
            <w:noWrap/>
            <w:vAlign w:val="bottom"/>
            <w:hideMark/>
          </w:tcPr>
          <w:p w14:paraId="70A446F2"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10.31</w:t>
            </w:r>
          </w:p>
        </w:tc>
        <w:tc>
          <w:tcPr>
            <w:tcW w:w="796" w:type="dxa"/>
            <w:tcBorders>
              <w:top w:val="nil"/>
              <w:left w:val="nil"/>
              <w:bottom w:val="nil"/>
              <w:right w:val="nil"/>
            </w:tcBorders>
            <w:shd w:val="clear" w:color="auto" w:fill="auto"/>
            <w:noWrap/>
            <w:vAlign w:val="bottom"/>
            <w:hideMark/>
          </w:tcPr>
          <w:p w14:paraId="69429EDC"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11.04</w:t>
            </w:r>
          </w:p>
        </w:tc>
        <w:tc>
          <w:tcPr>
            <w:tcW w:w="935" w:type="dxa"/>
            <w:tcBorders>
              <w:top w:val="nil"/>
              <w:left w:val="nil"/>
              <w:bottom w:val="nil"/>
              <w:right w:val="single" w:sz="4" w:space="0" w:color="auto"/>
            </w:tcBorders>
            <w:shd w:val="clear" w:color="auto" w:fill="auto"/>
            <w:noWrap/>
            <w:vAlign w:val="bottom"/>
            <w:hideMark/>
          </w:tcPr>
          <w:p w14:paraId="3BD53BF5"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21.4</w:t>
            </w:r>
          </w:p>
        </w:tc>
        <w:tc>
          <w:tcPr>
            <w:tcW w:w="965" w:type="dxa"/>
            <w:tcBorders>
              <w:top w:val="nil"/>
              <w:left w:val="nil"/>
              <w:bottom w:val="nil"/>
              <w:right w:val="nil"/>
            </w:tcBorders>
            <w:shd w:val="clear" w:color="auto" w:fill="auto"/>
            <w:noWrap/>
            <w:vAlign w:val="bottom"/>
            <w:hideMark/>
          </w:tcPr>
          <w:p w14:paraId="7E69FE44"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14.7</w:t>
            </w:r>
          </w:p>
        </w:tc>
        <w:tc>
          <w:tcPr>
            <w:tcW w:w="960" w:type="dxa"/>
            <w:tcBorders>
              <w:top w:val="nil"/>
              <w:left w:val="nil"/>
              <w:bottom w:val="nil"/>
              <w:right w:val="nil"/>
            </w:tcBorders>
            <w:shd w:val="clear" w:color="auto" w:fill="auto"/>
            <w:noWrap/>
            <w:vAlign w:val="bottom"/>
            <w:hideMark/>
          </w:tcPr>
          <w:p w14:paraId="434C75DB"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15.8</w:t>
            </w:r>
          </w:p>
        </w:tc>
        <w:tc>
          <w:tcPr>
            <w:tcW w:w="960" w:type="dxa"/>
            <w:tcBorders>
              <w:top w:val="nil"/>
              <w:left w:val="nil"/>
              <w:bottom w:val="nil"/>
              <w:right w:val="single" w:sz="4" w:space="0" w:color="auto"/>
            </w:tcBorders>
            <w:shd w:val="clear" w:color="auto" w:fill="auto"/>
            <w:noWrap/>
            <w:vAlign w:val="bottom"/>
            <w:hideMark/>
          </w:tcPr>
          <w:p w14:paraId="675235D6"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30.5</w:t>
            </w:r>
          </w:p>
        </w:tc>
      </w:tr>
      <w:tr w:rsidR="00BD14F8" w:rsidRPr="007C740F" w14:paraId="2BDEF53B"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04E2D530"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AMR </w:t>
            </w:r>
          </w:p>
        </w:tc>
        <w:tc>
          <w:tcPr>
            <w:tcW w:w="960" w:type="dxa"/>
            <w:tcBorders>
              <w:top w:val="nil"/>
              <w:left w:val="single" w:sz="4" w:space="0" w:color="auto"/>
              <w:bottom w:val="nil"/>
              <w:right w:val="nil"/>
            </w:tcBorders>
            <w:shd w:val="clear" w:color="auto" w:fill="auto"/>
            <w:noWrap/>
            <w:vAlign w:val="bottom"/>
            <w:hideMark/>
          </w:tcPr>
          <w:p w14:paraId="0D194325"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13.2</w:t>
            </w:r>
          </w:p>
        </w:tc>
        <w:tc>
          <w:tcPr>
            <w:tcW w:w="965" w:type="dxa"/>
            <w:tcBorders>
              <w:top w:val="nil"/>
              <w:left w:val="single" w:sz="4" w:space="0" w:color="auto"/>
              <w:bottom w:val="nil"/>
              <w:right w:val="nil"/>
            </w:tcBorders>
            <w:shd w:val="clear" w:color="auto" w:fill="auto"/>
            <w:noWrap/>
            <w:vAlign w:val="bottom"/>
            <w:hideMark/>
          </w:tcPr>
          <w:p w14:paraId="1D319878"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2.04</w:t>
            </w:r>
          </w:p>
        </w:tc>
        <w:tc>
          <w:tcPr>
            <w:tcW w:w="796" w:type="dxa"/>
            <w:tcBorders>
              <w:top w:val="nil"/>
              <w:left w:val="nil"/>
              <w:bottom w:val="nil"/>
              <w:right w:val="nil"/>
            </w:tcBorders>
            <w:shd w:val="clear" w:color="auto" w:fill="auto"/>
            <w:noWrap/>
            <w:vAlign w:val="bottom"/>
            <w:hideMark/>
          </w:tcPr>
          <w:p w14:paraId="12B2E5A6"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2.03</w:t>
            </w:r>
          </w:p>
        </w:tc>
        <w:tc>
          <w:tcPr>
            <w:tcW w:w="935" w:type="dxa"/>
            <w:tcBorders>
              <w:top w:val="nil"/>
              <w:left w:val="nil"/>
              <w:bottom w:val="nil"/>
              <w:right w:val="single" w:sz="4" w:space="0" w:color="auto"/>
            </w:tcBorders>
            <w:shd w:val="clear" w:color="auto" w:fill="auto"/>
            <w:noWrap/>
            <w:vAlign w:val="bottom"/>
            <w:hideMark/>
          </w:tcPr>
          <w:p w14:paraId="7420D1AA"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w:t>
            </w:r>
          </w:p>
        </w:tc>
        <w:tc>
          <w:tcPr>
            <w:tcW w:w="965" w:type="dxa"/>
            <w:tcBorders>
              <w:top w:val="nil"/>
              <w:left w:val="nil"/>
              <w:bottom w:val="nil"/>
              <w:right w:val="nil"/>
            </w:tcBorders>
            <w:shd w:val="clear" w:color="auto" w:fill="auto"/>
            <w:noWrap/>
            <w:vAlign w:val="bottom"/>
            <w:hideMark/>
          </w:tcPr>
          <w:p w14:paraId="2A186816"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15.4</w:t>
            </w:r>
          </w:p>
        </w:tc>
        <w:tc>
          <w:tcPr>
            <w:tcW w:w="960" w:type="dxa"/>
            <w:tcBorders>
              <w:top w:val="nil"/>
              <w:left w:val="nil"/>
              <w:bottom w:val="nil"/>
              <w:right w:val="nil"/>
            </w:tcBorders>
            <w:shd w:val="clear" w:color="auto" w:fill="auto"/>
            <w:noWrap/>
            <w:vAlign w:val="bottom"/>
            <w:hideMark/>
          </w:tcPr>
          <w:p w14:paraId="055DDB41"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15.4</w:t>
            </w:r>
          </w:p>
        </w:tc>
        <w:tc>
          <w:tcPr>
            <w:tcW w:w="960" w:type="dxa"/>
            <w:tcBorders>
              <w:top w:val="nil"/>
              <w:left w:val="nil"/>
              <w:bottom w:val="nil"/>
              <w:right w:val="single" w:sz="4" w:space="0" w:color="auto"/>
            </w:tcBorders>
            <w:shd w:val="clear" w:color="auto" w:fill="auto"/>
            <w:noWrap/>
            <w:vAlign w:val="bottom"/>
            <w:hideMark/>
          </w:tcPr>
          <w:p w14:paraId="7CB0F61F"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30.8</w:t>
            </w:r>
          </w:p>
        </w:tc>
      </w:tr>
      <w:tr w:rsidR="00BD14F8" w:rsidRPr="007C740F" w14:paraId="06101429"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2372968D"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EMR </w:t>
            </w:r>
          </w:p>
        </w:tc>
        <w:tc>
          <w:tcPr>
            <w:tcW w:w="960" w:type="dxa"/>
            <w:tcBorders>
              <w:top w:val="nil"/>
              <w:left w:val="single" w:sz="4" w:space="0" w:color="auto"/>
              <w:bottom w:val="nil"/>
              <w:right w:val="nil"/>
            </w:tcBorders>
            <w:shd w:val="clear" w:color="auto" w:fill="auto"/>
            <w:noWrap/>
            <w:vAlign w:val="bottom"/>
            <w:hideMark/>
          </w:tcPr>
          <w:p w14:paraId="7E0668F3"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45.2</w:t>
            </w:r>
          </w:p>
        </w:tc>
        <w:tc>
          <w:tcPr>
            <w:tcW w:w="965" w:type="dxa"/>
            <w:tcBorders>
              <w:top w:val="nil"/>
              <w:left w:val="single" w:sz="4" w:space="0" w:color="auto"/>
              <w:bottom w:val="nil"/>
              <w:right w:val="nil"/>
            </w:tcBorders>
            <w:shd w:val="clear" w:color="auto" w:fill="auto"/>
            <w:noWrap/>
            <w:vAlign w:val="bottom"/>
            <w:hideMark/>
          </w:tcPr>
          <w:p w14:paraId="56F5284A"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8.54</w:t>
            </w:r>
          </w:p>
        </w:tc>
        <w:tc>
          <w:tcPr>
            <w:tcW w:w="796" w:type="dxa"/>
            <w:tcBorders>
              <w:top w:val="nil"/>
              <w:left w:val="nil"/>
              <w:bottom w:val="nil"/>
              <w:right w:val="nil"/>
            </w:tcBorders>
            <w:shd w:val="clear" w:color="auto" w:fill="auto"/>
            <w:noWrap/>
            <w:vAlign w:val="bottom"/>
            <w:hideMark/>
          </w:tcPr>
          <w:p w14:paraId="16177C06"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11.51</w:t>
            </w:r>
          </w:p>
        </w:tc>
        <w:tc>
          <w:tcPr>
            <w:tcW w:w="935" w:type="dxa"/>
            <w:tcBorders>
              <w:top w:val="nil"/>
              <w:left w:val="nil"/>
              <w:bottom w:val="nil"/>
              <w:right w:val="single" w:sz="4" w:space="0" w:color="auto"/>
            </w:tcBorders>
            <w:shd w:val="clear" w:color="auto" w:fill="auto"/>
            <w:noWrap/>
            <w:vAlign w:val="bottom"/>
            <w:hideMark/>
          </w:tcPr>
          <w:p w14:paraId="1DFD9D31"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20.1</w:t>
            </w:r>
          </w:p>
        </w:tc>
        <w:tc>
          <w:tcPr>
            <w:tcW w:w="965" w:type="dxa"/>
            <w:tcBorders>
              <w:top w:val="nil"/>
              <w:left w:val="nil"/>
              <w:bottom w:val="nil"/>
              <w:right w:val="nil"/>
            </w:tcBorders>
            <w:shd w:val="clear" w:color="auto" w:fill="auto"/>
            <w:noWrap/>
            <w:vAlign w:val="bottom"/>
            <w:hideMark/>
          </w:tcPr>
          <w:p w14:paraId="25841E52"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18.9</w:t>
            </w:r>
          </w:p>
        </w:tc>
        <w:tc>
          <w:tcPr>
            <w:tcW w:w="960" w:type="dxa"/>
            <w:tcBorders>
              <w:top w:val="nil"/>
              <w:left w:val="nil"/>
              <w:bottom w:val="nil"/>
              <w:right w:val="nil"/>
            </w:tcBorders>
            <w:shd w:val="clear" w:color="auto" w:fill="auto"/>
            <w:noWrap/>
            <w:vAlign w:val="bottom"/>
            <w:hideMark/>
          </w:tcPr>
          <w:p w14:paraId="588BE822"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25.5</w:t>
            </w:r>
          </w:p>
        </w:tc>
        <w:tc>
          <w:tcPr>
            <w:tcW w:w="960" w:type="dxa"/>
            <w:tcBorders>
              <w:top w:val="nil"/>
              <w:left w:val="nil"/>
              <w:bottom w:val="nil"/>
              <w:right w:val="single" w:sz="4" w:space="0" w:color="auto"/>
            </w:tcBorders>
            <w:shd w:val="clear" w:color="auto" w:fill="auto"/>
            <w:noWrap/>
            <w:vAlign w:val="bottom"/>
            <w:hideMark/>
          </w:tcPr>
          <w:p w14:paraId="0A5550F9"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44.4</w:t>
            </w:r>
          </w:p>
        </w:tc>
      </w:tr>
      <w:tr w:rsidR="00BD14F8" w:rsidRPr="007C740F" w14:paraId="2432AE15"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31E2291C"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EUR </w:t>
            </w:r>
          </w:p>
        </w:tc>
        <w:tc>
          <w:tcPr>
            <w:tcW w:w="960" w:type="dxa"/>
            <w:tcBorders>
              <w:top w:val="nil"/>
              <w:left w:val="single" w:sz="4" w:space="0" w:color="auto"/>
              <w:bottom w:val="nil"/>
              <w:right w:val="nil"/>
            </w:tcBorders>
            <w:shd w:val="clear" w:color="auto" w:fill="auto"/>
            <w:noWrap/>
            <w:vAlign w:val="bottom"/>
            <w:hideMark/>
          </w:tcPr>
          <w:p w14:paraId="4C4FE433"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7.3</w:t>
            </w:r>
          </w:p>
        </w:tc>
        <w:tc>
          <w:tcPr>
            <w:tcW w:w="965" w:type="dxa"/>
            <w:tcBorders>
              <w:top w:val="nil"/>
              <w:left w:val="single" w:sz="4" w:space="0" w:color="auto"/>
              <w:bottom w:val="nil"/>
              <w:right w:val="nil"/>
            </w:tcBorders>
            <w:shd w:val="clear" w:color="auto" w:fill="auto"/>
            <w:noWrap/>
            <w:vAlign w:val="bottom"/>
            <w:hideMark/>
          </w:tcPr>
          <w:p w14:paraId="2FF247E1"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1.17</w:t>
            </w:r>
          </w:p>
        </w:tc>
        <w:tc>
          <w:tcPr>
            <w:tcW w:w="796" w:type="dxa"/>
            <w:tcBorders>
              <w:top w:val="nil"/>
              <w:left w:val="nil"/>
              <w:bottom w:val="nil"/>
              <w:right w:val="nil"/>
            </w:tcBorders>
            <w:shd w:val="clear" w:color="auto" w:fill="auto"/>
            <w:noWrap/>
            <w:vAlign w:val="bottom"/>
            <w:hideMark/>
          </w:tcPr>
          <w:p w14:paraId="7CBC43EC"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2.43</w:t>
            </w:r>
          </w:p>
        </w:tc>
        <w:tc>
          <w:tcPr>
            <w:tcW w:w="935" w:type="dxa"/>
            <w:tcBorders>
              <w:top w:val="nil"/>
              <w:left w:val="nil"/>
              <w:bottom w:val="nil"/>
              <w:right w:val="single" w:sz="4" w:space="0" w:color="auto"/>
            </w:tcBorders>
            <w:shd w:val="clear" w:color="auto" w:fill="auto"/>
            <w:noWrap/>
            <w:vAlign w:val="bottom"/>
            <w:hideMark/>
          </w:tcPr>
          <w:p w14:paraId="5D86B5FC"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965" w:type="dxa"/>
            <w:tcBorders>
              <w:top w:val="nil"/>
              <w:left w:val="nil"/>
              <w:bottom w:val="nil"/>
              <w:right w:val="nil"/>
            </w:tcBorders>
            <w:shd w:val="clear" w:color="auto" w:fill="auto"/>
            <w:noWrap/>
            <w:vAlign w:val="bottom"/>
            <w:hideMark/>
          </w:tcPr>
          <w:p w14:paraId="14006B20"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15.9</w:t>
            </w:r>
          </w:p>
        </w:tc>
        <w:tc>
          <w:tcPr>
            <w:tcW w:w="960" w:type="dxa"/>
            <w:tcBorders>
              <w:top w:val="nil"/>
              <w:left w:val="nil"/>
              <w:bottom w:val="nil"/>
              <w:right w:val="nil"/>
            </w:tcBorders>
            <w:shd w:val="clear" w:color="auto" w:fill="auto"/>
            <w:noWrap/>
            <w:vAlign w:val="bottom"/>
            <w:hideMark/>
          </w:tcPr>
          <w:p w14:paraId="6F1A77A6"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33.1</w:t>
            </w:r>
          </w:p>
        </w:tc>
        <w:tc>
          <w:tcPr>
            <w:tcW w:w="960" w:type="dxa"/>
            <w:tcBorders>
              <w:top w:val="nil"/>
              <w:left w:val="nil"/>
              <w:bottom w:val="nil"/>
              <w:right w:val="single" w:sz="4" w:space="0" w:color="auto"/>
            </w:tcBorders>
            <w:shd w:val="clear" w:color="auto" w:fill="auto"/>
            <w:noWrap/>
            <w:vAlign w:val="bottom"/>
            <w:hideMark/>
          </w:tcPr>
          <w:p w14:paraId="656D1104"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49.0</w:t>
            </w:r>
          </w:p>
        </w:tc>
      </w:tr>
      <w:tr w:rsidR="00BD14F8" w:rsidRPr="007C740F" w14:paraId="7E7718C5"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474D171F"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SEAR </w:t>
            </w:r>
          </w:p>
        </w:tc>
        <w:tc>
          <w:tcPr>
            <w:tcW w:w="960" w:type="dxa"/>
            <w:tcBorders>
              <w:top w:val="nil"/>
              <w:left w:val="single" w:sz="4" w:space="0" w:color="auto"/>
              <w:bottom w:val="nil"/>
              <w:right w:val="nil"/>
            </w:tcBorders>
            <w:shd w:val="clear" w:color="auto" w:fill="auto"/>
            <w:noWrap/>
            <w:vAlign w:val="bottom"/>
            <w:hideMark/>
          </w:tcPr>
          <w:p w14:paraId="737CE2A4"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29.1</w:t>
            </w:r>
          </w:p>
        </w:tc>
        <w:tc>
          <w:tcPr>
            <w:tcW w:w="965" w:type="dxa"/>
            <w:tcBorders>
              <w:top w:val="nil"/>
              <w:left w:val="single" w:sz="4" w:space="0" w:color="auto"/>
              <w:bottom w:val="nil"/>
              <w:right w:val="nil"/>
            </w:tcBorders>
            <w:shd w:val="clear" w:color="auto" w:fill="auto"/>
            <w:noWrap/>
            <w:vAlign w:val="bottom"/>
            <w:hideMark/>
          </w:tcPr>
          <w:p w14:paraId="190F9A60"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8.50</w:t>
            </w:r>
          </w:p>
        </w:tc>
        <w:tc>
          <w:tcPr>
            <w:tcW w:w="796" w:type="dxa"/>
            <w:tcBorders>
              <w:top w:val="nil"/>
              <w:left w:val="nil"/>
              <w:bottom w:val="nil"/>
              <w:right w:val="nil"/>
            </w:tcBorders>
            <w:shd w:val="clear" w:color="auto" w:fill="auto"/>
            <w:noWrap/>
            <w:vAlign w:val="bottom"/>
            <w:hideMark/>
          </w:tcPr>
          <w:p w14:paraId="06A224D4"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5.09</w:t>
            </w:r>
          </w:p>
        </w:tc>
        <w:tc>
          <w:tcPr>
            <w:tcW w:w="935" w:type="dxa"/>
            <w:tcBorders>
              <w:top w:val="nil"/>
              <w:left w:val="nil"/>
              <w:bottom w:val="nil"/>
              <w:right w:val="single" w:sz="4" w:space="0" w:color="auto"/>
            </w:tcBorders>
            <w:shd w:val="clear" w:color="auto" w:fill="auto"/>
            <w:noWrap/>
            <w:vAlign w:val="bottom"/>
            <w:hideMark/>
          </w:tcPr>
          <w:p w14:paraId="156B853A"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13.6</w:t>
            </w:r>
          </w:p>
        </w:tc>
        <w:tc>
          <w:tcPr>
            <w:tcW w:w="965" w:type="dxa"/>
            <w:tcBorders>
              <w:top w:val="nil"/>
              <w:left w:val="nil"/>
              <w:bottom w:val="nil"/>
              <w:right w:val="nil"/>
            </w:tcBorders>
            <w:shd w:val="clear" w:color="auto" w:fill="auto"/>
            <w:noWrap/>
            <w:vAlign w:val="bottom"/>
            <w:hideMark/>
          </w:tcPr>
          <w:p w14:paraId="58E2BBFD"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29.2</w:t>
            </w:r>
          </w:p>
        </w:tc>
        <w:tc>
          <w:tcPr>
            <w:tcW w:w="960" w:type="dxa"/>
            <w:tcBorders>
              <w:top w:val="nil"/>
              <w:left w:val="nil"/>
              <w:bottom w:val="nil"/>
              <w:right w:val="nil"/>
            </w:tcBorders>
            <w:shd w:val="clear" w:color="auto" w:fill="auto"/>
            <w:noWrap/>
            <w:vAlign w:val="bottom"/>
            <w:hideMark/>
          </w:tcPr>
          <w:p w14:paraId="0D52C26A"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17.5</w:t>
            </w:r>
          </w:p>
        </w:tc>
        <w:tc>
          <w:tcPr>
            <w:tcW w:w="960" w:type="dxa"/>
            <w:tcBorders>
              <w:top w:val="nil"/>
              <w:left w:val="nil"/>
              <w:bottom w:val="nil"/>
              <w:right w:val="single" w:sz="4" w:space="0" w:color="auto"/>
            </w:tcBorders>
            <w:shd w:val="clear" w:color="auto" w:fill="auto"/>
            <w:noWrap/>
            <w:vAlign w:val="bottom"/>
            <w:hideMark/>
          </w:tcPr>
          <w:p w14:paraId="3AF90665"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46.7</w:t>
            </w:r>
          </w:p>
        </w:tc>
      </w:tr>
      <w:tr w:rsidR="00BD14F8" w:rsidRPr="007C740F" w14:paraId="5092D9BD" w14:textId="77777777" w:rsidTr="00A0215E">
        <w:trPr>
          <w:trHeight w:val="300"/>
          <w:jc w:val="center"/>
        </w:trPr>
        <w:tc>
          <w:tcPr>
            <w:tcW w:w="960" w:type="dxa"/>
            <w:tcBorders>
              <w:top w:val="nil"/>
              <w:left w:val="single" w:sz="4" w:space="0" w:color="auto"/>
              <w:bottom w:val="nil"/>
              <w:right w:val="nil"/>
            </w:tcBorders>
            <w:shd w:val="clear" w:color="auto" w:fill="auto"/>
            <w:noWrap/>
            <w:vAlign w:val="bottom"/>
            <w:hideMark/>
          </w:tcPr>
          <w:p w14:paraId="39FE33BB"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WPR </w:t>
            </w:r>
          </w:p>
        </w:tc>
        <w:tc>
          <w:tcPr>
            <w:tcW w:w="960" w:type="dxa"/>
            <w:tcBorders>
              <w:top w:val="nil"/>
              <w:left w:val="single" w:sz="4" w:space="0" w:color="auto"/>
              <w:bottom w:val="nil"/>
              <w:right w:val="nil"/>
            </w:tcBorders>
            <w:shd w:val="clear" w:color="auto" w:fill="auto"/>
            <w:noWrap/>
            <w:vAlign w:val="bottom"/>
            <w:hideMark/>
          </w:tcPr>
          <w:p w14:paraId="681351A4"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11.5</w:t>
            </w:r>
          </w:p>
        </w:tc>
        <w:tc>
          <w:tcPr>
            <w:tcW w:w="965" w:type="dxa"/>
            <w:tcBorders>
              <w:top w:val="nil"/>
              <w:left w:val="single" w:sz="4" w:space="0" w:color="auto"/>
              <w:bottom w:val="nil"/>
              <w:right w:val="nil"/>
            </w:tcBorders>
            <w:shd w:val="clear" w:color="auto" w:fill="auto"/>
            <w:noWrap/>
            <w:vAlign w:val="bottom"/>
            <w:hideMark/>
          </w:tcPr>
          <w:p w14:paraId="482FF012"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2.35</w:t>
            </w:r>
          </w:p>
        </w:tc>
        <w:tc>
          <w:tcPr>
            <w:tcW w:w="796" w:type="dxa"/>
            <w:tcBorders>
              <w:top w:val="nil"/>
              <w:left w:val="nil"/>
              <w:bottom w:val="nil"/>
              <w:right w:val="nil"/>
            </w:tcBorders>
            <w:shd w:val="clear" w:color="auto" w:fill="auto"/>
            <w:noWrap/>
            <w:vAlign w:val="bottom"/>
            <w:hideMark/>
          </w:tcPr>
          <w:p w14:paraId="7219C72A"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2.13</w:t>
            </w:r>
          </w:p>
        </w:tc>
        <w:tc>
          <w:tcPr>
            <w:tcW w:w="935" w:type="dxa"/>
            <w:tcBorders>
              <w:top w:val="nil"/>
              <w:left w:val="nil"/>
              <w:bottom w:val="nil"/>
              <w:right w:val="single" w:sz="4" w:space="0" w:color="auto"/>
            </w:tcBorders>
            <w:shd w:val="clear" w:color="auto" w:fill="auto"/>
            <w:noWrap/>
            <w:vAlign w:val="bottom"/>
            <w:hideMark/>
          </w:tcPr>
          <w:p w14:paraId="61FA9449"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w:t>
            </w:r>
          </w:p>
        </w:tc>
        <w:tc>
          <w:tcPr>
            <w:tcW w:w="965" w:type="dxa"/>
            <w:tcBorders>
              <w:top w:val="nil"/>
              <w:left w:val="nil"/>
              <w:bottom w:val="nil"/>
              <w:right w:val="nil"/>
            </w:tcBorders>
            <w:shd w:val="clear" w:color="auto" w:fill="auto"/>
            <w:noWrap/>
            <w:vAlign w:val="bottom"/>
            <w:hideMark/>
          </w:tcPr>
          <w:p w14:paraId="6517A270"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20.4</w:t>
            </w:r>
          </w:p>
        </w:tc>
        <w:tc>
          <w:tcPr>
            <w:tcW w:w="960" w:type="dxa"/>
            <w:tcBorders>
              <w:top w:val="nil"/>
              <w:left w:val="nil"/>
              <w:bottom w:val="nil"/>
              <w:right w:val="nil"/>
            </w:tcBorders>
            <w:shd w:val="clear" w:color="auto" w:fill="auto"/>
            <w:noWrap/>
            <w:vAlign w:val="bottom"/>
            <w:hideMark/>
          </w:tcPr>
          <w:p w14:paraId="56BF8E6F"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18.5</w:t>
            </w:r>
          </w:p>
        </w:tc>
        <w:tc>
          <w:tcPr>
            <w:tcW w:w="960" w:type="dxa"/>
            <w:tcBorders>
              <w:top w:val="nil"/>
              <w:left w:val="nil"/>
              <w:bottom w:val="nil"/>
              <w:right w:val="single" w:sz="4" w:space="0" w:color="auto"/>
            </w:tcBorders>
            <w:shd w:val="clear" w:color="auto" w:fill="auto"/>
            <w:noWrap/>
            <w:vAlign w:val="bottom"/>
            <w:hideMark/>
          </w:tcPr>
          <w:p w14:paraId="0DC819CF"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38.8</w:t>
            </w:r>
          </w:p>
        </w:tc>
      </w:tr>
      <w:tr w:rsidR="00BD14F8" w:rsidRPr="007C740F" w14:paraId="5A58F28F" w14:textId="77777777" w:rsidTr="00AD657D">
        <w:trPr>
          <w:trHeight w:val="315"/>
          <w:jc w:val="center"/>
        </w:trPr>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2CB802B3"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World</w:t>
            </w:r>
          </w:p>
        </w:tc>
        <w:tc>
          <w:tcPr>
            <w:tcW w:w="960" w:type="dxa"/>
            <w:tcBorders>
              <w:top w:val="single" w:sz="4" w:space="0" w:color="auto"/>
              <w:left w:val="single" w:sz="4" w:space="0" w:color="auto"/>
              <w:bottom w:val="double" w:sz="6" w:space="0" w:color="auto"/>
              <w:right w:val="nil"/>
            </w:tcBorders>
            <w:shd w:val="clear" w:color="auto" w:fill="auto"/>
            <w:noWrap/>
            <w:vAlign w:val="center"/>
            <w:hideMark/>
          </w:tcPr>
          <w:p w14:paraId="2A4C5B1B"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37.8</w:t>
            </w:r>
          </w:p>
        </w:tc>
        <w:tc>
          <w:tcPr>
            <w:tcW w:w="965" w:type="dxa"/>
            <w:tcBorders>
              <w:top w:val="single" w:sz="4" w:space="0" w:color="auto"/>
              <w:left w:val="single" w:sz="4" w:space="0" w:color="auto"/>
              <w:bottom w:val="double" w:sz="6" w:space="0" w:color="auto"/>
              <w:right w:val="nil"/>
            </w:tcBorders>
            <w:shd w:val="clear" w:color="auto" w:fill="auto"/>
            <w:noWrap/>
            <w:vAlign w:val="center"/>
            <w:hideMark/>
          </w:tcPr>
          <w:p w14:paraId="4E4FD8A0"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6.99</w:t>
            </w:r>
          </w:p>
        </w:tc>
        <w:tc>
          <w:tcPr>
            <w:tcW w:w="796" w:type="dxa"/>
            <w:tcBorders>
              <w:top w:val="single" w:sz="4" w:space="0" w:color="auto"/>
              <w:left w:val="nil"/>
              <w:bottom w:val="double" w:sz="6" w:space="0" w:color="auto"/>
              <w:right w:val="nil"/>
            </w:tcBorders>
            <w:shd w:val="clear" w:color="auto" w:fill="auto"/>
            <w:noWrap/>
            <w:vAlign w:val="center"/>
            <w:hideMark/>
          </w:tcPr>
          <w:p w14:paraId="68364658"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6.83</w:t>
            </w:r>
          </w:p>
        </w:tc>
        <w:tc>
          <w:tcPr>
            <w:tcW w:w="935" w:type="dxa"/>
            <w:tcBorders>
              <w:top w:val="single" w:sz="4" w:space="0" w:color="auto"/>
              <w:left w:val="nil"/>
              <w:bottom w:val="double" w:sz="6" w:space="0" w:color="auto"/>
              <w:right w:val="single" w:sz="4" w:space="0" w:color="auto"/>
            </w:tcBorders>
            <w:shd w:val="clear" w:color="auto" w:fill="auto"/>
            <w:noWrap/>
            <w:vAlign w:val="center"/>
            <w:hideMark/>
          </w:tcPr>
          <w:p w14:paraId="05357E1B"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13.8</w:t>
            </w:r>
          </w:p>
        </w:tc>
        <w:tc>
          <w:tcPr>
            <w:tcW w:w="965" w:type="dxa"/>
            <w:tcBorders>
              <w:top w:val="single" w:sz="4" w:space="0" w:color="auto"/>
              <w:left w:val="nil"/>
              <w:bottom w:val="double" w:sz="6" w:space="0" w:color="auto"/>
              <w:right w:val="nil"/>
            </w:tcBorders>
            <w:shd w:val="clear" w:color="auto" w:fill="auto"/>
            <w:noWrap/>
            <w:vAlign w:val="center"/>
            <w:hideMark/>
          </w:tcPr>
          <w:p w14:paraId="70338701"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18.5</w:t>
            </w:r>
          </w:p>
        </w:tc>
        <w:tc>
          <w:tcPr>
            <w:tcW w:w="960" w:type="dxa"/>
            <w:tcBorders>
              <w:top w:val="single" w:sz="4" w:space="0" w:color="auto"/>
              <w:left w:val="nil"/>
              <w:bottom w:val="double" w:sz="6" w:space="0" w:color="auto"/>
              <w:right w:val="nil"/>
            </w:tcBorders>
            <w:shd w:val="clear" w:color="auto" w:fill="auto"/>
            <w:noWrap/>
            <w:vAlign w:val="center"/>
            <w:hideMark/>
          </w:tcPr>
          <w:p w14:paraId="03CF3039"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18.1</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3E799BC0"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36.6</w:t>
            </w:r>
          </w:p>
        </w:tc>
      </w:tr>
      <w:tr w:rsidR="00BD14F8" w:rsidRPr="007C740F" w14:paraId="5672D19A" w14:textId="77777777" w:rsidTr="00AD657D">
        <w:trPr>
          <w:trHeight w:val="315"/>
          <w:jc w:val="center"/>
        </w:trPr>
        <w:tc>
          <w:tcPr>
            <w:tcW w:w="960" w:type="dxa"/>
            <w:tcBorders>
              <w:top w:val="nil"/>
              <w:left w:val="single" w:sz="4" w:space="0" w:color="auto"/>
              <w:bottom w:val="single" w:sz="4" w:space="0" w:color="auto"/>
              <w:right w:val="nil"/>
            </w:tcBorders>
            <w:shd w:val="clear" w:color="auto" w:fill="auto"/>
            <w:noWrap/>
            <w:vAlign w:val="center"/>
            <w:hideMark/>
          </w:tcPr>
          <w:p w14:paraId="215E41AD" w14:textId="77777777" w:rsidR="00BD14F8" w:rsidRPr="007C740F" w:rsidRDefault="00BD14F8" w:rsidP="00BD14F8">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 xml:space="preserve">W Europe </w:t>
            </w:r>
          </w:p>
        </w:tc>
        <w:tc>
          <w:tcPr>
            <w:tcW w:w="960" w:type="dxa"/>
            <w:tcBorders>
              <w:top w:val="nil"/>
              <w:left w:val="nil"/>
              <w:bottom w:val="single" w:sz="4" w:space="0" w:color="auto"/>
              <w:right w:val="nil"/>
            </w:tcBorders>
            <w:shd w:val="clear" w:color="auto" w:fill="auto"/>
            <w:noWrap/>
            <w:vAlign w:val="center"/>
            <w:hideMark/>
          </w:tcPr>
          <w:p w14:paraId="380A48A3"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965" w:type="dxa"/>
            <w:tcBorders>
              <w:top w:val="nil"/>
              <w:left w:val="single" w:sz="4" w:space="0" w:color="auto"/>
              <w:bottom w:val="single" w:sz="4" w:space="0" w:color="auto"/>
              <w:right w:val="nil"/>
            </w:tcBorders>
            <w:shd w:val="clear" w:color="auto" w:fill="auto"/>
            <w:noWrap/>
            <w:vAlign w:val="center"/>
            <w:hideMark/>
          </w:tcPr>
          <w:p w14:paraId="7D91774B"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0.67</w:t>
            </w:r>
          </w:p>
        </w:tc>
        <w:tc>
          <w:tcPr>
            <w:tcW w:w="796" w:type="dxa"/>
            <w:tcBorders>
              <w:top w:val="nil"/>
              <w:left w:val="nil"/>
              <w:bottom w:val="single" w:sz="4" w:space="0" w:color="auto"/>
              <w:right w:val="nil"/>
            </w:tcBorders>
            <w:shd w:val="clear" w:color="auto" w:fill="auto"/>
            <w:noWrap/>
            <w:vAlign w:val="center"/>
            <w:hideMark/>
          </w:tcPr>
          <w:p w14:paraId="509A6F88"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1.70</w:t>
            </w:r>
          </w:p>
        </w:tc>
        <w:tc>
          <w:tcPr>
            <w:tcW w:w="935" w:type="dxa"/>
            <w:tcBorders>
              <w:top w:val="nil"/>
              <w:left w:val="nil"/>
              <w:bottom w:val="single" w:sz="4" w:space="0" w:color="auto"/>
              <w:right w:val="single" w:sz="4" w:space="0" w:color="auto"/>
            </w:tcBorders>
            <w:shd w:val="clear" w:color="auto" w:fill="auto"/>
            <w:noWrap/>
            <w:vAlign w:val="center"/>
            <w:hideMark/>
          </w:tcPr>
          <w:p w14:paraId="4FB594D7"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w:t>
            </w:r>
          </w:p>
        </w:tc>
        <w:tc>
          <w:tcPr>
            <w:tcW w:w="965" w:type="dxa"/>
            <w:tcBorders>
              <w:top w:val="nil"/>
              <w:left w:val="nil"/>
              <w:bottom w:val="single" w:sz="4" w:space="0" w:color="auto"/>
              <w:right w:val="nil"/>
            </w:tcBorders>
            <w:shd w:val="clear" w:color="auto" w:fill="auto"/>
            <w:noWrap/>
            <w:vAlign w:val="center"/>
            <w:hideMark/>
          </w:tcPr>
          <w:p w14:paraId="041BCD2F"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18.7</w:t>
            </w:r>
          </w:p>
        </w:tc>
        <w:tc>
          <w:tcPr>
            <w:tcW w:w="960" w:type="dxa"/>
            <w:tcBorders>
              <w:top w:val="nil"/>
              <w:left w:val="nil"/>
              <w:bottom w:val="single" w:sz="4" w:space="0" w:color="auto"/>
              <w:right w:val="nil"/>
            </w:tcBorders>
            <w:shd w:val="clear" w:color="auto" w:fill="auto"/>
            <w:noWrap/>
            <w:vAlign w:val="center"/>
            <w:hideMark/>
          </w:tcPr>
          <w:p w14:paraId="399B25B8"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47.3</w:t>
            </w:r>
          </w:p>
        </w:tc>
        <w:tc>
          <w:tcPr>
            <w:tcW w:w="960" w:type="dxa"/>
            <w:tcBorders>
              <w:top w:val="nil"/>
              <w:left w:val="nil"/>
              <w:bottom w:val="single" w:sz="4" w:space="0" w:color="auto"/>
              <w:right w:val="single" w:sz="4" w:space="0" w:color="auto"/>
            </w:tcBorders>
            <w:shd w:val="clear" w:color="auto" w:fill="auto"/>
            <w:noWrap/>
            <w:vAlign w:val="center"/>
            <w:hideMark/>
          </w:tcPr>
          <w:p w14:paraId="1002CCAD" w14:textId="77777777" w:rsidR="00BD14F8" w:rsidRPr="007C740F" w:rsidRDefault="00BD14F8" w:rsidP="00BD14F8">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65.9</w:t>
            </w:r>
          </w:p>
        </w:tc>
      </w:tr>
    </w:tbl>
    <w:p w14:paraId="33A471EF" w14:textId="61A86111" w:rsidR="00E4332B" w:rsidRPr="007C740F" w:rsidRDefault="00E4332B" w:rsidP="00E4332B">
      <w:pPr>
        <w:pStyle w:val="Heading3"/>
      </w:pPr>
      <w:bookmarkStart w:id="37" w:name="_Toc193659688"/>
      <w:r w:rsidRPr="007C740F">
        <w:t>Need for an agreed terminology for congenital disorders</w:t>
      </w:r>
      <w:bookmarkEnd w:id="37"/>
    </w:p>
    <w:p w14:paraId="02469F8C" w14:textId="64B5AE52" w:rsidR="00A87810" w:rsidRPr="007C740F" w:rsidRDefault="00E4332B" w:rsidP="00F555B6">
      <w:pPr>
        <w:pStyle w:val="BodyText1"/>
        <w:jc w:val="both"/>
      </w:pPr>
      <w:r w:rsidRPr="007C740F">
        <w:t xml:space="preserve">The contrast between the MGDb and </w:t>
      </w:r>
      <w:r w:rsidR="00A87810" w:rsidRPr="007C740F">
        <w:t xml:space="preserve">GBD </w:t>
      </w:r>
      <w:r w:rsidRPr="007C740F">
        <w:t xml:space="preserve">estimates underlines </w:t>
      </w:r>
      <w:r w:rsidR="00A87810" w:rsidRPr="007C740F">
        <w:t xml:space="preserve">the </w:t>
      </w:r>
      <w:r w:rsidR="00576A24" w:rsidRPr="007C740F">
        <w:t xml:space="preserve">need for </w:t>
      </w:r>
      <w:r w:rsidRPr="007C740F">
        <w:t xml:space="preserve">a </w:t>
      </w:r>
      <w:r w:rsidR="00576A24" w:rsidRPr="007C740F">
        <w:t xml:space="preserve">consensus on the terminology used </w:t>
      </w:r>
      <w:r w:rsidR="00720109" w:rsidRPr="007C740F">
        <w:t xml:space="preserve">for </w:t>
      </w:r>
      <w:r w:rsidR="00576A24" w:rsidRPr="007C740F">
        <w:t>congenital disorders</w:t>
      </w:r>
      <w:r w:rsidR="007D43CE" w:rsidRPr="007C740F">
        <w:t xml:space="preserve">. </w:t>
      </w:r>
      <w:r w:rsidR="007704E5" w:rsidRPr="007C740F">
        <w:t xml:space="preserve">Figure </w:t>
      </w:r>
      <w:r w:rsidR="00DE3082" w:rsidRPr="007C740F">
        <w:t>1</w:t>
      </w:r>
      <w:r w:rsidR="00BB060D" w:rsidRPr="007C740F">
        <w:t>0</w:t>
      </w:r>
      <w:r w:rsidR="007704E5" w:rsidRPr="007C740F">
        <w:t xml:space="preserve"> shows the </w:t>
      </w:r>
      <w:r w:rsidR="007D43CE" w:rsidRPr="007C740F">
        <w:t>bundling of congenital disorder</w:t>
      </w:r>
      <w:r w:rsidRPr="007C740F">
        <w:t xml:space="preserve"> groups used </w:t>
      </w:r>
      <w:r w:rsidR="00A67017" w:rsidRPr="007C740F">
        <w:t>for different purposes</w:t>
      </w:r>
      <w:r w:rsidR="007D43CE" w:rsidRPr="007C740F">
        <w:t>. A</w:t>
      </w:r>
      <w:r w:rsidR="00A87810" w:rsidRPr="007C740F">
        <w:t xml:space="preserve">ll </w:t>
      </w:r>
      <w:r w:rsidRPr="007C740F">
        <w:t xml:space="preserve">the </w:t>
      </w:r>
      <w:r w:rsidR="00A87810" w:rsidRPr="007C740F">
        <w:t xml:space="preserve">groups in </w:t>
      </w:r>
      <w:r w:rsidR="007D43CE" w:rsidRPr="007C740F">
        <w:t>the f</w:t>
      </w:r>
      <w:r w:rsidR="00A87810" w:rsidRPr="007C740F">
        <w:t xml:space="preserve">igure </w:t>
      </w:r>
      <w:r w:rsidR="007D43CE" w:rsidRPr="007C740F">
        <w:t xml:space="preserve">fall </w:t>
      </w:r>
      <w:r w:rsidR="00A87810" w:rsidRPr="007C740F">
        <w:t>within the WHO definition of congenital disorders</w:t>
      </w:r>
      <w:r w:rsidR="007D43CE" w:rsidRPr="007C740F">
        <w:t>, but</w:t>
      </w:r>
      <w:r w:rsidR="00A87810" w:rsidRPr="007C740F">
        <w:t xml:space="preserve"> </w:t>
      </w:r>
      <w:r w:rsidR="007D43CE" w:rsidRPr="007C740F">
        <w:t xml:space="preserve">groups overlap and </w:t>
      </w:r>
      <w:r w:rsidR="00A87810" w:rsidRPr="007C740F">
        <w:t>different professional</w:t>
      </w:r>
      <w:r w:rsidR="007704E5" w:rsidRPr="007C740F">
        <w:t>s</w:t>
      </w:r>
      <w:r w:rsidR="00A87810" w:rsidRPr="007C740F">
        <w:t xml:space="preserve"> count and bundle </w:t>
      </w:r>
      <w:r w:rsidR="007D43CE" w:rsidRPr="007C740F">
        <w:t>the disorders in different ways. Clear definition</w:t>
      </w:r>
      <w:r w:rsidR="00F82890" w:rsidRPr="007C740F">
        <w:t>s</w:t>
      </w:r>
      <w:r w:rsidR="007D43CE" w:rsidRPr="007C740F">
        <w:t xml:space="preserve"> </w:t>
      </w:r>
      <w:r w:rsidR="00F82890" w:rsidRPr="007C740F">
        <w:t>are</w:t>
      </w:r>
      <w:r w:rsidR="007D43CE" w:rsidRPr="007C740F">
        <w:t xml:space="preserve"> essential to avoid misunderstanding</w:t>
      </w:r>
      <w:r w:rsidR="007704E5" w:rsidRPr="007C740F">
        <w:t>.</w:t>
      </w:r>
    </w:p>
    <w:p w14:paraId="50E2A23B" w14:textId="52875992" w:rsidR="00A67017" w:rsidRPr="007C740F" w:rsidRDefault="00A67017" w:rsidP="00A87810">
      <w:pPr>
        <w:pStyle w:val="Figurelegend"/>
      </w:pPr>
      <w:r w:rsidRPr="007C740F">
        <w:rPr>
          <w:noProof/>
        </w:rPr>
        <w:drawing>
          <wp:inline distT="0" distB="0" distL="0" distR="0" wp14:anchorId="7B936C13" wp14:editId="34074B5C">
            <wp:extent cx="5731510" cy="1681480"/>
            <wp:effectExtent l="0" t="0" r="0" b="0"/>
            <wp:docPr id="182593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681480"/>
                    </a:xfrm>
                    <a:prstGeom prst="rect">
                      <a:avLst/>
                    </a:prstGeom>
                    <a:noFill/>
                    <a:ln>
                      <a:noFill/>
                    </a:ln>
                  </pic:spPr>
                </pic:pic>
              </a:graphicData>
            </a:graphic>
          </wp:inline>
        </w:drawing>
      </w:r>
    </w:p>
    <w:p w14:paraId="0627A917" w14:textId="626A68A6" w:rsidR="00A87810" w:rsidRPr="007C740F" w:rsidRDefault="00A87810" w:rsidP="00A87810">
      <w:pPr>
        <w:pStyle w:val="Figurelegend"/>
      </w:pPr>
      <w:r w:rsidRPr="007C740F">
        <w:t>Figure</w:t>
      </w:r>
      <w:r w:rsidR="007704E5" w:rsidRPr="007C740F">
        <w:t xml:space="preserve"> </w:t>
      </w:r>
      <w:r w:rsidR="00DE3082" w:rsidRPr="007C740F">
        <w:t>1</w:t>
      </w:r>
      <w:r w:rsidR="00BB060D" w:rsidRPr="007C740F">
        <w:t>0</w:t>
      </w:r>
      <w:r w:rsidRPr="007C740F">
        <w:t xml:space="preserve">. Bundling of the main groups of congenital disorder used for different professional purposes. </w:t>
      </w:r>
      <w:r w:rsidR="00806A6C" w:rsidRPr="007C740F">
        <w:t>The chart shows the distinction used here between environmental and</w:t>
      </w:r>
      <w:r w:rsidR="00871319" w:rsidRPr="007C740F">
        <w:t xml:space="preserve"> endogenous</w:t>
      </w:r>
      <w:r w:rsidR="00806A6C" w:rsidRPr="007C740F">
        <w:t xml:space="preserve"> disorders. </w:t>
      </w:r>
      <w:r w:rsidRPr="007C740F">
        <w:t>The ICD10 definition of congenital anomalies includes only disorders with structural effects and</w:t>
      </w:r>
      <w:r w:rsidR="008B0B41" w:rsidRPr="007C740F">
        <w:t xml:space="preserve"> so</w:t>
      </w:r>
      <w:r w:rsidRPr="007C740F">
        <w:t xml:space="preserve"> excludes </w:t>
      </w:r>
      <w:r w:rsidR="008B0B41" w:rsidRPr="007C740F">
        <w:t xml:space="preserve">many environmental and most </w:t>
      </w:r>
      <w:r w:rsidRPr="007C740F">
        <w:t xml:space="preserve">genetic disorders. Genetic disorders include chromosomal disorders but exclude environmental disorders and most congenital malformations. </w:t>
      </w:r>
      <w:r w:rsidR="00806A6C" w:rsidRPr="007C740F">
        <w:t xml:space="preserve">Only congenital infections fall within the WHO definition of communicable diseases, all </w:t>
      </w:r>
      <w:r w:rsidR="00806A6C" w:rsidRPr="007C740F">
        <w:lastRenderedPageBreak/>
        <w:t xml:space="preserve">the rest are non-communicable. The rare diseases grouping </w:t>
      </w:r>
      <w:r w:rsidRPr="007C740F">
        <w:t>(e.g. globalgenes.org) includes some disorders in all groups.</w:t>
      </w:r>
    </w:p>
    <w:p w14:paraId="3A8E8969" w14:textId="28305E62" w:rsidR="00A87810" w:rsidRPr="007C740F" w:rsidRDefault="00BB060D" w:rsidP="00A87810">
      <w:pPr>
        <w:pStyle w:val="BodyText1"/>
      </w:pPr>
      <w:r w:rsidRPr="007C740F">
        <w:t>The</w:t>
      </w:r>
      <w:r w:rsidR="00E4332B" w:rsidRPr="007C740F">
        <w:t xml:space="preserve"> definitions used in the MGDb </w:t>
      </w:r>
      <w:r w:rsidRPr="007C740F">
        <w:t xml:space="preserve">are </w:t>
      </w:r>
      <w:r w:rsidR="00DF2071" w:rsidRPr="007C740F">
        <w:t>collated</w:t>
      </w:r>
      <w:r w:rsidRPr="007C740F">
        <w:t xml:space="preserve"> in Article </w:t>
      </w:r>
      <w:r w:rsidRPr="007C740F">
        <w:rPr>
          <w:i/>
        </w:rPr>
        <w:t>1.1 Terminology</w:t>
      </w:r>
      <w:r w:rsidRPr="007C740F">
        <w:t xml:space="preserve"> in the hope of promoting </w:t>
      </w:r>
      <w:r w:rsidR="00E4332B" w:rsidRPr="007C740F">
        <w:t xml:space="preserve">a </w:t>
      </w:r>
      <w:r w:rsidR="00495FDF" w:rsidRPr="007C740F">
        <w:t xml:space="preserve">consensus on </w:t>
      </w:r>
      <w:r w:rsidR="00A87810" w:rsidRPr="007C740F">
        <w:t>term</w:t>
      </w:r>
      <w:r w:rsidR="00D24328" w:rsidRPr="007C740F">
        <w:t>s</w:t>
      </w:r>
      <w:r w:rsidR="00A87810" w:rsidRPr="007C740F">
        <w:t xml:space="preserve"> suitable for use in Community Genetics.</w:t>
      </w:r>
    </w:p>
    <w:p w14:paraId="093A4183" w14:textId="77777777" w:rsidR="001529F8" w:rsidRPr="007C740F" w:rsidRDefault="001529F8" w:rsidP="001529F8">
      <w:pPr>
        <w:pStyle w:val="Heading1"/>
      </w:pPr>
      <w:bookmarkStart w:id="38" w:name="_Toc193659689"/>
      <w:r w:rsidRPr="007C740F">
        <w:t>Conclusion</w:t>
      </w:r>
      <w:bookmarkEnd w:id="38"/>
    </w:p>
    <w:p w14:paraId="7590C6AB" w14:textId="14DB4524" w:rsidR="003E45B8" w:rsidRPr="007C740F" w:rsidRDefault="00D24328" w:rsidP="000D6FEF">
      <w:pPr>
        <w:pStyle w:val="BodyText1"/>
      </w:pPr>
      <w:r w:rsidRPr="007C740F">
        <w:t>T</w:t>
      </w:r>
      <w:r w:rsidR="003E45B8" w:rsidRPr="007C740F">
        <w:t xml:space="preserve">he MGDb estimates </w:t>
      </w:r>
      <w:r w:rsidR="000D6FEF" w:rsidRPr="007C740F">
        <w:t xml:space="preserve">of birth prevalence and outcomes of early-onset congenital disorders </w:t>
      </w:r>
      <w:r w:rsidR="00055F7D" w:rsidRPr="007C740F">
        <w:t>have many limitations</w:t>
      </w:r>
      <w:r w:rsidR="00BB060D" w:rsidRPr="007C740F">
        <w:t>,</w:t>
      </w:r>
      <w:r w:rsidRPr="007C740F">
        <w:t xml:space="preserve"> but </w:t>
      </w:r>
      <w:r w:rsidR="00BB060D" w:rsidRPr="007C740F">
        <w:t xml:space="preserve">they </w:t>
      </w:r>
      <w:r w:rsidR="00055F7D" w:rsidRPr="007C740F">
        <w:t xml:space="preserve">are </w:t>
      </w:r>
      <w:r w:rsidR="000D6FEF" w:rsidRPr="007C740F">
        <w:t xml:space="preserve">useful </w:t>
      </w:r>
      <w:r w:rsidR="00055F7D" w:rsidRPr="007C740F">
        <w:t xml:space="preserve">indicators of </w:t>
      </w:r>
      <w:r w:rsidR="000D6FEF" w:rsidRPr="007C740F">
        <w:t xml:space="preserve">health burden in settings with only </w:t>
      </w:r>
      <w:r w:rsidR="00425DB9" w:rsidRPr="007C740F">
        <w:t>limited or un</w:t>
      </w:r>
      <w:r w:rsidR="00055F7D" w:rsidRPr="007C740F">
        <w:t>reliable observational data.</w:t>
      </w:r>
      <w:r w:rsidR="003E45B8" w:rsidRPr="007C740F">
        <w:t xml:space="preserve"> </w:t>
      </w:r>
      <w:r w:rsidRPr="007C740F">
        <w:t xml:space="preserve">They </w:t>
      </w:r>
      <w:r w:rsidR="00BB060D" w:rsidRPr="007C740F">
        <w:t xml:space="preserve">offer </w:t>
      </w:r>
      <w:r w:rsidR="003E45B8" w:rsidRPr="007C740F">
        <w:t>a starting point for service planning</w:t>
      </w:r>
      <w:r w:rsidR="000D6FEF" w:rsidRPr="007C740F">
        <w:t xml:space="preserve"> for care, prevention and surveillance of these disorders.</w:t>
      </w:r>
    </w:p>
    <w:p w14:paraId="6EAA7B1A" w14:textId="77777777" w:rsidR="00807348" w:rsidRPr="007C740F" w:rsidRDefault="00807348" w:rsidP="00C41EB6">
      <w:pPr>
        <w:pStyle w:val="Heading1"/>
      </w:pPr>
      <w:r w:rsidRPr="007C740F">
        <w:br w:type="page"/>
      </w:r>
      <w:bookmarkStart w:id="39" w:name="_Toc193659690"/>
      <w:bookmarkStart w:id="40" w:name="_Hlk150065932"/>
      <w:r w:rsidR="00681205" w:rsidRPr="007C740F">
        <w:lastRenderedPageBreak/>
        <w:t>References</w:t>
      </w:r>
      <w:bookmarkEnd w:id="39"/>
    </w:p>
    <w:bookmarkEnd w:id="40"/>
    <w:p w14:paraId="7F3CD35D" w14:textId="77777777" w:rsidR="002323C5" w:rsidRPr="007C740F" w:rsidRDefault="002323C5" w:rsidP="002323C5">
      <w:pPr>
        <w:pStyle w:val="BodyText1"/>
        <w:numPr>
          <w:ilvl w:val="0"/>
          <w:numId w:val="23"/>
        </w:numPr>
      </w:pPr>
      <w:r w:rsidRPr="007C740F">
        <w:t>Alwan AA, Modell B. Community Control of Genetic and Congenital Disorders. EMRO Technical Publications Series 24. World Health Organisation Regional Office for the Eastern Mediterranean. 1997. (218 pp) ISBN 92-9021-220-9. ISSN 1020-0428.</w:t>
      </w:r>
    </w:p>
    <w:p w14:paraId="5B858DEB" w14:textId="77777777" w:rsidR="002323C5" w:rsidRPr="007C740F" w:rsidRDefault="002323C5" w:rsidP="002323C5">
      <w:pPr>
        <w:pStyle w:val="BodyText1"/>
        <w:numPr>
          <w:ilvl w:val="0"/>
          <w:numId w:val="23"/>
        </w:numPr>
      </w:pPr>
      <w:r w:rsidRPr="007C740F">
        <w:t>Arth A, Kancherla V, Pachon H, Zimmerman S, Johnson Q, Oakley GP.   A 2015 Global Update on Folic Acid-Preventable Spina Bifida and Anencephaly. Birth Defects Res A Clin Mol Teratol. 2016 Jul;106(7):520-9. doi: 10.1002/bdra.23529. (Published online 15 July 2016 in Wiley Online Library (wileyonlinelibrary.com).</w:t>
      </w:r>
    </w:p>
    <w:p w14:paraId="2DA26962" w14:textId="4CB205ED" w:rsidR="002323C5" w:rsidRPr="007C740F" w:rsidRDefault="002323C5" w:rsidP="002323C5">
      <w:pPr>
        <w:pStyle w:val="BodyText1"/>
        <w:numPr>
          <w:ilvl w:val="0"/>
          <w:numId w:val="23"/>
        </w:numPr>
      </w:pPr>
      <w:r w:rsidRPr="007C740F">
        <w:t>Ash P, Vennart J, Carter CO. 1977. The incidence of hereditary disease in man.  Lancet. 1(8016):849-51</w:t>
      </w:r>
      <w:r w:rsidR="005F5EEA" w:rsidRPr="007C740F">
        <w:t>.</w:t>
      </w:r>
    </w:p>
    <w:p w14:paraId="4AB1957D" w14:textId="77777777" w:rsidR="002323C5" w:rsidRPr="007C740F" w:rsidRDefault="002323C5" w:rsidP="002323C5">
      <w:pPr>
        <w:pStyle w:val="BodyText1"/>
        <w:numPr>
          <w:ilvl w:val="0"/>
          <w:numId w:val="23"/>
        </w:numPr>
      </w:pPr>
      <w:r w:rsidRPr="007C740F">
        <w:t>Baird PA, Anderson TW, Newcombe HB, Lowry RB. 1988. Genetic disorders in children and young adults: a population study. American Journal of Human Genetics 42: 677-693.</w:t>
      </w:r>
    </w:p>
    <w:p w14:paraId="19C0C1CA" w14:textId="3D7500F2" w:rsidR="002323C5" w:rsidRPr="007C740F" w:rsidRDefault="002323C5" w:rsidP="002323C5">
      <w:pPr>
        <w:pStyle w:val="BodyText1"/>
        <w:numPr>
          <w:ilvl w:val="0"/>
          <w:numId w:val="23"/>
        </w:numPr>
      </w:pPr>
      <w:r w:rsidRPr="007C740F">
        <w:t>Baird PA. 1987. Measuring birth defects and handicapping disorders in the population: the British Columbia Health Surveillance Registry. Canadian Medical Association Journal 136: 109-111</w:t>
      </w:r>
      <w:r w:rsidR="005F5EEA" w:rsidRPr="007C740F">
        <w:t>.</w:t>
      </w:r>
    </w:p>
    <w:p w14:paraId="12D73302" w14:textId="77777777" w:rsidR="002323C5" w:rsidRPr="007C740F" w:rsidRDefault="002323C5" w:rsidP="002323C5">
      <w:pPr>
        <w:pStyle w:val="BodyText1"/>
        <w:numPr>
          <w:ilvl w:val="0"/>
          <w:numId w:val="23"/>
        </w:numPr>
      </w:pPr>
      <w:r w:rsidRPr="007C740F">
        <w:t>Baird PA, Anderson TW, Newcombe HB, Lowry RB. 1988. Genetic disorders in children and young adults: a population study. American Journal of Human Genetics 42: 677-693.</w:t>
      </w:r>
    </w:p>
    <w:p w14:paraId="64CC9849" w14:textId="77777777" w:rsidR="002323C5" w:rsidRPr="007C740F" w:rsidRDefault="002323C5" w:rsidP="002323C5">
      <w:pPr>
        <w:pStyle w:val="BodyText1"/>
        <w:numPr>
          <w:ilvl w:val="0"/>
          <w:numId w:val="23"/>
        </w:numPr>
      </w:pPr>
      <w:r w:rsidRPr="007C740F">
        <w:t>Bhutani VK, Zipursky , Blencowe et al. 2013. Beyond newborn survival paper 6. Neonatal hyperbilirubinaemia and Rhesus disease of the newborn: incidence and impairment estimates for 2010 at regional and global levels. Pediatric Research 74: 86-100.</w:t>
      </w:r>
    </w:p>
    <w:p w14:paraId="17FB0A14" w14:textId="25D94A89" w:rsidR="002323C5" w:rsidRPr="007C740F" w:rsidRDefault="002323C5" w:rsidP="002323C5">
      <w:pPr>
        <w:pStyle w:val="BodyText1"/>
        <w:numPr>
          <w:ilvl w:val="0"/>
          <w:numId w:val="23"/>
        </w:numPr>
      </w:pPr>
      <w:r w:rsidRPr="007C740F">
        <w:t xml:space="preserve">Bittles AH. </w:t>
      </w:r>
      <w:hyperlink r:id="rId27" w:history="1">
        <w:r w:rsidR="00C77ECD" w:rsidRPr="007C740F">
          <w:rPr>
            <w:rStyle w:val="Hyperlink"/>
          </w:rPr>
          <w:t>www.consang.net</w:t>
        </w:r>
      </w:hyperlink>
      <w:r w:rsidR="00C77ECD" w:rsidRPr="007C740F">
        <w:t>.</w:t>
      </w:r>
    </w:p>
    <w:p w14:paraId="21DC6A01" w14:textId="60D7F455" w:rsidR="005F5EEA" w:rsidRPr="007C740F" w:rsidRDefault="005F5EEA" w:rsidP="002323C5">
      <w:pPr>
        <w:pStyle w:val="BodyText1"/>
        <w:numPr>
          <w:ilvl w:val="0"/>
          <w:numId w:val="23"/>
        </w:numPr>
      </w:pPr>
      <w:r w:rsidRPr="007C740F">
        <w:rPr>
          <w:lang w:val="en-ZA"/>
        </w:rPr>
        <w:t xml:space="preserve">Bittles AH &amp; Black ML (2010a) The impact of consanguinity on neonatal and infant health. </w:t>
      </w:r>
      <w:r w:rsidRPr="007C740F">
        <w:rPr>
          <w:i/>
          <w:iCs/>
          <w:lang w:val="en-ZA"/>
        </w:rPr>
        <w:t>Early human development</w:t>
      </w:r>
      <w:r w:rsidRPr="007C740F">
        <w:rPr>
          <w:lang w:val="en-ZA"/>
        </w:rPr>
        <w:t xml:space="preserve"> </w:t>
      </w:r>
      <w:r w:rsidRPr="007C740F">
        <w:rPr>
          <w:b/>
          <w:bCs/>
          <w:lang w:val="en-ZA"/>
        </w:rPr>
        <w:t>86</w:t>
      </w:r>
      <w:r w:rsidRPr="007C740F">
        <w:rPr>
          <w:lang w:val="en-ZA"/>
        </w:rPr>
        <w:t>(11)</w:t>
      </w:r>
      <w:r w:rsidRPr="007C740F">
        <w:rPr>
          <w:b/>
          <w:bCs/>
          <w:lang w:val="en-ZA"/>
        </w:rPr>
        <w:t>,</w:t>
      </w:r>
      <w:r w:rsidRPr="007C740F">
        <w:rPr>
          <w:lang w:val="en-ZA"/>
        </w:rPr>
        <w:t xml:space="preserve"> 737-741.</w:t>
      </w:r>
    </w:p>
    <w:p w14:paraId="32CF96C6" w14:textId="61C715C7" w:rsidR="005F5EEA" w:rsidRPr="007C740F" w:rsidRDefault="005F5EEA" w:rsidP="002323C5">
      <w:pPr>
        <w:pStyle w:val="BodyText1"/>
        <w:numPr>
          <w:ilvl w:val="0"/>
          <w:numId w:val="23"/>
        </w:numPr>
      </w:pPr>
      <w:r w:rsidRPr="007C740F">
        <w:rPr>
          <w:lang w:val="en-ZA"/>
        </w:rPr>
        <w:t xml:space="preserve">Bittles AH &amp; Black ML (2010b) Consanguinity, human evolution, and complex diseases. </w:t>
      </w:r>
      <w:r w:rsidRPr="007C740F">
        <w:rPr>
          <w:i/>
          <w:iCs/>
          <w:lang w:val="en-ZA"/>
        </w:rPr>
        <w:t>Proceedings of the National Academy of Sciences</w:t>
      </w:r>
      <w:r w:rsidRPr="007C740F">
        <w:rPr>
          <w:lang w:val="en-ZA"/>
        </w:rPr>
        <w:t xml:space="preserve"> </w:t>
      </w:r>
      <w:r w:rsidRPr="007C740F">
        <w:rPr>
          <w:b/>
          <w:bCs/>
          <w:lang w:val="en-ZA"/>
        </w:rPr>
        <w:t>107</w:t>
      </w:r>
      <w:r w:rsidRPr="007C740F">
        <w:rPr>
          <w:lang w:val="en-ZA"/>
        </w:rPr>
        <w:t>(suppl_1)</w:t>
      </w:r>
      <w:r w:rsidRPr="007C740F">
        <w:rPr>
          <w:b/>
          <w:bCs/>
          <w:lang w:val="en-ZA"/>
        </w:rPr>
        <w:t>,</w:t>
      </w:r>
      <w:r w:rsidRPr="007C740F">
        <w:rPr>
          <w:lang w:val="en-ZA"/>
        </w:rPr>
        <w:t xml:space="preserve"> 1779-1786.</w:t>
      </w:r>
    </w:p>
    <w:p w14:paraId="173883AA" w14:textId="415174BE" w:rsidR="00C77ECD" w:rsidRPr="007C740F" w:rsidRDefault="00C77ECD" w:rsidP="00C77ECD">
      <w:pPr>
        <w:pStyle w:val="BodyText1"/>
        <w:numPr>
          <w:ilvl w:val="0"/>
          <w:numId w:val="23"/>
        </w:numPr>
        <w:rPr>
          <w:lang w:val="en-ZA"/>
        </w:rPr>
      </w:pPr>
      <w:r w:rsidRPr="007C740F">
        <w:rPr>
          <w:lang w:val="en-ZA"/>
        </w:rPr>
        <w:t xml:space="preserve">Bodmer WF &amp; Cavalli-Sforza LL (1976) </w:t>
      </w:r>
      <w:r w:rsidRPr="007C740F">
        <w:rPr>
          <w:i/>
          <w:iCs/>
          <w:lang w:val="en-ZA"/>
        </w:rPr>
        <w:t>Genetics, evolution, and man</w:t>
      </w:r>
      <w:r w:rsidRPr="007C740F">
        <w:rPr>
          <w:lang w:val="en-ZA"/>
        </w:rPr>
        <w:t xml:space="preserve">. </w:t>
      </w:r>
      <w:r w:rsidR="00267B3D" w:rsidRPr="007C740F">
        <w:rPr>
          <w:lang w:val="en-ZA"/>
        </w:rPr>
        <w:t>W</w:t>
      </w:r>
      <w:r w:rsidRPr="007C740F">
        <w:rPr>
          <w:lang w:val="en-ZA"/>
        </w:rPr>
        <w:t>H</w:t>
      </w:r>
      <w:r w:rsidR="00267B3D" w:rsidRPr="007C740F">
        <w:rPr>
          <w:lang w:val="en-ZA"/>
        </w:rPr>
        <w:t xml:space="preserve"> </w:t>
      </w:r>
      <w:r w:rsidRPr="007C740F">
        <w:rPr>
          <w:lang w:val="en-ZA"/>
        </w:rPr>
        <w:t>Freeman &amp; Co Ltd.</w:t>
      </w:r>
    </w:p>
    <w:p w14:paraId="7BAF9E35" w14:textId="647DB9C3" w:rsidR="00267B3D" w:rsidRPr="007C740F" w:rsidRDefault="00267B3D" w:rsidP="00C77ECD">
      <w:pPr>
        <w:pStyle w:val="BodyText1"/>
        <w:numPr>
          <w:ilvl w:val="0"/>
          <w:numId w:val="23"/>
        </w:numPr>
        <w:rPr>
          <w:lang w:val="en-ZA"/>
        </w:rPr>
      </w:pPr>
      <w:r w:rsidRPr="007C740F">
        <w:rPr>
          <w:lang w:val="en-ZA"/>
        </w:rPr>
        <w:t xml:space="preserve">Bundey S &amp; Alam H (1993) A five-year prospective study of the health of children in different ethnic groups, with particular reference to the effect of inbreeding. </w:t>
      </w:r>
      <w:r w:rsidRPr="007C740F">
        <w:rPr>
          <w:i/>
          <w:iCs/>
          <w:lang w:val="en-ZA"/>
        </w:rPr>
        <w:t>European Journal of Human Genetics</w:t>
      </w:r>
      <w:r w:rsidRPr="007C740F">
        <w:rPr>
          <w:lang w:val="en-ZA"/>
        </w:rPr>
        <w:t xml:space="preserve"> </w:t>
      </w:r>
      <w:r w:rsidRPr="007C740F">
        <w:rPr>
          <w:b/>
          <w:bCs/>
          <w:lang w:val="en-ZA"/>
        </w:rPr>
        <w:t>1</w:t>
      </w:r>
      <w:r w:rsidRPr="007C740F">
        <w:rPr>
          <w:lang w:val="en-ZA"/>
        </w:rPr>
        <w:t>(3)</w:t>
      </w:r>
      <w:r w:rsidRPr="007C740F">
        <w:rPr>
          <w:b/>
          <w:bCs/>
          <w:lang w:val="en-ZA"/>
        </w:rPr>
        <w:t>,</w:t>
      </w:r>
      <w:r w:rsidRPr="007C740F">
        <w:rPr>
          <w:lang w:val="en-ZA"/>
        </w:rPr>
        <w:t xml:space="preserve"> 206-219.</w:t>
      </w:r>
    </w:p>
    <w:p w14:paraId="14BE67C7" w14:textId="77777777" w:rsidR="002323C5" w:rsidRPr="007C740F" w:rsidRDefault="002323C5" w:rsidP="002323C5">
      <w:pPr>
        <w:pStyle w:val="BodyText1"/>
        <w:numPr>
          <w:ilvl w:val="0"/>
          <w:numId w:val="23"/>
        </w:numPr>
      </w:pPr>
      <w:r w:rsidRPr="007C740F">
        <w:t>Carter CO. Monogenic disorders. 1977. Journal of Medical Genetics 14: 316-320.</w:t>
      </w:r>
    </w:p>
    <w:p w14:paraId="679FEDD8" w14:textId="41ED08BD" w:rsidR="002323C5" w:rsidRPr="007C740F" w:rsidRDefault="002323C5" w:rsidP="002323C5">
      <w:pPr>
        <w:pStyle w:val="BodyText1"/>
        <w:numPr>
          <w:ilvl w:val="0"/>
          <w:numId w:val="23"/>
        </w:numPr>
      </w:pPr>
      <w:r w:rsidRPr="007C740F">
        <w:t>Christianson A, Howson C, Modell B. 2006. March of Dimes Global Report on Birth Defects. The hidden toll of dying and disabled children. March of Dimes Birth Defects Foundation, White Plains, New York. 2006.  http://www.marchofdimes.com/professionals/871_18587.asp</w:t>
      </w:r>
      <w:r w:rsidR="005F5EEA" w:rsidRPr="007C740F">
        <w:t>.</w:t>
      </w:r>
    </w:p>
    <w:p w14:paraId="7D746C47" w14:textId="77777777" w:rsidR="002323C5" w:rsidRPr="007C740F" w:rsidRDefault="002323C5" w:rsidP="002323C5">
      <w:pPr>
        <w:pStyle w:val="BodyText1"/>
        <w:numPr>
          <w:ilvl w:val="0"/>
          <w:numId w:val="23"/>
        </w:numPr>
      </w:pPr>
      <w:r w:rsidRPr="007C740F">
        <w:lastRenderedPageBreak/>
        <w:t>Christianson A, Modell B. Medical genetics in developing countries. Annual Review of Genetics and Human Genomics. 2004. 5. 219-265.</w:t>
      </w:r>
    </w:p>
    <w:p w14:paraId="766AE6D0" w14:textId="77777777" w:rsidR="002323C5" w:rsidRPr="007C740F" w:rsidRDefault="002323C5" w:rsidP="002323C5">
      <w:pPr>
        <w:pStyle w:val="BodyText1"/>
        <w:numPr>
          <w:ilvl w:val="0"/>
          <w:numId w:val="23"/>
        </w:numPr>
      </w:pPr>
      <w:r w:rsidRPr="007C740F">
        <w:t>Clarke C. 1983. Prevention of Rh haemolytic disease by immunoglobulin anti-D.  Vox Sanguinis 44: 396-399.</w:t>
      </w:r>
    </w:p>
    <w:p w14:paraId="7E259FB0" w14:textId="2648623A" w:rsidR="002323C5" w:rsidRPr="007C740F" w:rsidRDefault="002323C5" w:rsidP="002323C5">
      <w:pPr>
        <w:pStyle w:val="BodyText1"/>
        <w:numPr>
          <w:ilvl w:val="0"/>
          <w:numId w:val="23"/>
        </w:numPr>
      </w:pPr>
      <w:r w:rsidRPr="007C740F">
        <w:t>Cutts FT, Robertson SE, Diaz-Ortega J-L, Samuel R. 1997. Control of rubella and congenital rubella syndrome (CRS) in developing countries, part 1: burden of disease from CRS. Bulletin of the World Health Organization, 1997, 75 (1): 55-68</w:t>
      </w:r>
      <w:r w:rsidR="005F5EEA" w:rsidRPr="007C740F">
        <w:t>.</w:t>
      </w:r>
    </w:p>
    <w:p w14:paraId="046C12F6" w14:textId="21BE217C" w:rsidR="002323C5" w:rsidRPr="007C740F" w:rsidRDefault="002323C5" w:rsidP="002323C5">
      <w:pPr>
        <w:pStyle w:val="BodyText1"/>
        <w:numPr>
          <w:ilvl w:val="0"/>
          <w:numId w:val="23"/>
        </w:numPr>
      </w:pPr>
      <w:r w:rsidRPr="007C740F">
        <w:rPr>
          <w:lang w:val="pt-BR"/>
        </w:rPr>
        <w:t xml:space="preserve">Czeizel A, Dobó M, Dudás I, Gasztonyi Z, Lantos I. 1998. </w:t>
      </w:r>
      <w:r w:rsidRPr="007C740F">
        <w:t>The Hungarian periconceptional service as a model for community genetics. Community Genet. 1998;1(4):252-9</w:t>
      </w:r>
      <w:r w:rsidR="00542F2A" w:rsidRPr="007C740F">
        <w:t>.</w:t>
      </w:r>
    </w:p>
    <w:p w14:paraId="13CF9AE5" w14:textId="16174B25" w:rsidR="00542F2A" w:rsidRPr="007C740F" w:rsidRDefault="00542F2A" w:rsidP="002323C5">
      <w:pPr>
        <w:pStyle w:val="BodyText1"/>
        <w:numPr>
          <w:ilvl w:val="0"/>
          <w:numId w:val="23"/>
        </w:numPr>
      </w:pPr>
      <w:r w:rsidRPr="007C740F">
        <w:rPr>
          <w:lang w:val="en-ZA"/>
        </w:rPr>
        <w:t xml:space="preserve">Czeizel AE &amp; Dudas I (1992) Prevention of the first occurrence of neural-tube defects by periconceptional vitamin supplementation. </w:t>
      </w:r>
      <w:r w:rsidRPr="007C740F">
        <w:rPr>
          <w:i/>
          <w:iCs/>
          <w:lang w:val="en-ZA"/>
        </w:rPr>
        <w:t>New England Journal of Medicine</w:t>
      </w:r>
      <w:r w:rsidRPr="007C740F">
        <w:rPr>
          <w:lang w:val="en-ZA"/>
        </w:rPr>
        <w:t xml:space="preserve"> </w:t>
      </w:r>
      <w:r w:rsidRPr="007C740F">
        <w:rPr>
          <w:b/>
          <w:bCs/>
          <w:lang w:val="en-ZA"/>
        </w:rPr>
        <w:t>327</w:t>
      </w:r>
      <w:r w:rsidRPr="007C740F">
        <w:rPr>
          <w:lang w:val="en-ZA"/>
        </w:rPr>
        <w:t>(26)</w:t>
      </w:r>
      <w:r w:rsidRPr="007C740F">
        <w:rPr>
          <w:b/>
          <w:bCs/>
          <w:lang w:val="en-ZA"/>
        </w:rPr>
        <w:t>,</w:t>
      </w:r>
      <w:r w:rsidRPr="007C740F">
        <w:rPr>
          <w:lang w:val="en-ZA"/>
        </w:rPr>
        <w:t xml:space="preserve"> 1832-1835. </w:t>
      </w:r>
    </w:p>
    <w:p w14:paraId="412009C2" w14:textId="77777777" w:rsidR="002323C5" w:rsidRPr="007C740F" w:rsidRDefault="002323C5" w:rsidP="002323C5">
      <w:pPr>
        <w:pStyle w:val="BodyText1"/>
        <w:numPr>
          <w:ilvl w:val="0"/>
          <w:numId w:val="23"/>
        </w:numPr>
      </w:pPr>
      <w:r w:rsidRPr="007C740F">
        <w:t>Czeizel A, Intody Z, Modell B.  1993.  What proportion of congenital anomalies can be prevented?  British Medical Journal 306: 499-502.</w:t>
      </w:r>
    </w:p>
    <w:p w14:paraId="05233FA1" w14:textId="649A2FE9" w:rsidR="002323C5" w:rsidRPr="007C740F" w:rsidRDefault="002323C5" w:rsidP="002323C5">
      <w:pPr>
        <w:pStyle w:val="BodyText1"/>
        <w:numPr>
          <w:ilvl w:val="0"/>
          <w:numId w:val="23"/>
        </w:numPr>
      </w:pPr>
      <w:r w:rsidRPr="007C740F">
        <w:t>Czeizel A, Sankaranarayanan K. 1984. The load of genetic and partly genetic disorders in man. 1. Congenital anomalies: estimates of detriment in terms of years of life lost and years of impaired life. Mutation Research 128: 73 - 103.</w:t>
      </w:r>
    </w:p>
    <w:p w14:paraId="344CC966" w14:textId="6F8B541B" w:rsidR="002323C5" w:rsidRPr="007C740F" w:rsidRDefault="002323C5" w:rsidP="002323C5">
      <w:pPr>
        <w:pStyle w:val="BodyText1"/>
        <w:numPr>
          <w:ilvl w:val="0"/>
          <w:numId w:val="23"/>
        </w:numPr>
      </w:pPr>
      <w:r w:rsidRPr="007C740F">
        <w:t>Czeizel A. 1989. The Hungarian surveillance of new mutations: lack of detectable increase in the occurr</w:t>
      </w:r>
      <w:r w:rsidR="008D14C8" w:rsidRPr="007C740F">
        <w:t>e</w:t>
      </w:r>
      <w:r w:rsidRPr="007C740F">
        <w:t>nce of indicator conditions caused by germinal mutations in Hungary following Chernobyl nuclear power plant accident.  Human Genetics 82:359-66.1989.</w:t>
      </w:r>
    </w:p>
    <w:p w14:paraId="00D71398" w14:textId="6FFBB47F" w:rsidR="002323C5" w:rsidRPr="007C740F" w:rsidRDefault="002323C5" w:rsidP="002323C5">
      <w:pPr>
        <w:pStyle w:val="BodyText1"/>
        <w:numPr>
          <w:ilvl w:val="0"/>
          <w:numId w:val="23"/>
        </w:numPr>
      </w:pPr>
      <w:r w:rsidRPr="007C740F">
        <w:t>Czeizel A. 1992. Prevention of first occurrence of neural tube defects.  Results of the Hungarian  randomised controlled trial of periconceptional vitamin supplementation.  New England Journal of Medicine 327: 1832-5</w:t>
      </w:r>
      <w:r w:rsidR="005F5EEA" w:rsidRPr="007C740F">
        <w:t>.</w:t>
      </w:r>
    </w:p>
    <w:p w14:paraId="561750E9" w14:textId="77777777" w:rsidR="002323C5" w:rsidRPr="007C740F" w:rsidRDefault="002323C5" w:rsidP="002323C5">
      <w:pPr>
        <w:pStyle w:val="BodyText1"/>
        <w:numPr>
          <w:ilvl w:val="0"/>
          <w:numId w:val="23"/>
        </w:numPr>
      </w:pPr>
      <w:r w:rsidRPr="007C740F">
        <w:rPr>
          <w:lang w:val="pt-BR"/>
        </w:rPr>
        <w:t xml:space="preserve">Czeizel AE, Dobó M, Dudás I, Gasztonyi Z, Lantos I. 1998. </w:t>
      </w:r>
      <w:r w:rsidRPr="007C740F">
        <w:t>The Hungarian periconceptional service as a model for community genetics. Community Genet. 1998;1(4):252-9.</w:t>
      </w:r>
    </w:p>
    <w:p w14:paraId="5787D84E" w14:textId="77777777" w:rsidR="002323C5" w:rsidRPr="007C740F" w:rsidRDefault="002323C5" w:rsidP="002323C5">
      <w:pPr>
        <w:pStyle w:val="BodyText1"/>
        <w:numPr>
          <w:ilvl w:val="0"/>
          <w:numId w:val="23"/>
        </w:numPr>
      </w:pPr>
      <w:r w:rsidRPr="007C740F">
        <w:t>Czeizel AE, Toth M, Rockenbauer M. 1996. Population-based case control study of folic acid supplementation during pregnancy. Teratology 53: 345-51.</w:t>
      </w:r>
    </w:p>
    <w:p w14:paraId="11820F97" w14:textId="77777777" w:rsidR="002323C5" w:rsidRPr="007C740F" w:rsidRDefault="002323C5" w:rsidP="002323C5">
      <w:pPr>
        <w:pStyle w:val="BodyText1"/>
        <w:numPr>
          <w:ilvl w:val="0"/>
          <w:numId w:val="23"/>
        </w:numPr>
      </w:pPr>
      <w:r w:rsidRPr="007C740F">
        <w:t>Czeizel AE. 1993. Prevention of congenital abnormalities by periconceptional multivitamin supplementation. British Medical Journal 306: 1645-8.</w:t>
      </w:r>
    </w:p>
    <w:p w14:paraId="459CD2DF" w14:textId="77777777" w:rsidR="002323C5" w:rsidRPr="007C740F" w:rsidRDefault="002323C5" w:rsidP="002323C5">
      <w:pPr>
        <w:pStyle w:val="BodyText1"/>
        <w:numPr>
          <w:ilvl w:val="0"/>
          <w:numId w:val="23"/>
        </w:numPr>
      </w:pPr>
      <w:r w:rsidRPr="007C740F">
        <w:t>Czeizel AE. 1997. First 25 years of the Hungarian congenital abnormality registry. Teratology 55(5):299-305.</w:t>
      </w:r>
    </w:p>
    <w:p w14:paraId="2C5285A3" w14:textId="77777777" w:rsidR="002323C5" w:rsidRPr="007C740F" w:rsidRDefault="002323C5" w:rsidP="002323C5">
      <w:pPr>
        <w:pStyle w:val="BodyText1"/>
        <w:numPr>
          <w:ilvl w:val="0"/>
          <w:numId w:val="23"/>
        </w:numPr>
      </w:pPr>
      <w:r w:rsidRPr="007C740F">
        <w:t xml:space="preserve">Czeizel AE. 2012. Experience of the Hungarian Preconception Service between 1984 and 2010. </w:t>
      </w:r>
      <w:r w:rsidRPr="007C740F">
        <w:rPr>
          <w:lang w:val="pt-BR"/>
        </w:rPr>
        <w:t xml:space="preserve">Eur J Obstet Gynecol Reprod Biol. 2012 Mar;161(1):18-25. doi: 10.1016/j.ejogrb.2011.12.019. </w:t>
      </w:r>
      <w:proofErr w:type="spellStart"/>
      <w:r w:rsidRPr="007C740F">
        <w:t>Epub</w:t>
      </w:r>
      <w:proofErr w:type="spellEnd"/>
      <w:r w:rsidRPr="007C740F">
        <w:t xml:space="preserve"> 2012 Jan 18.</w:t>
      </w:r>
    </w:p>
    <w:p w14:paraId="74DD82C5" w14:textId="62A1B077" w:rsidR="002323C5" w:rsidRPr="007C740F" w:rsidRDefault="002323C5" w:rsidP="002323C5">
      <w:pPr>
        <w:pStyle w:val="BodyText1"/>
        <w:numPr>
          <w:ilvl w:val="0"/>
          <w:numId w:val="23"/>
        </w:numPr>
      </w:pPr>
      <w:r w:rsidRPr="007C740F">
        <w:t>Global Burden of Disease (GBD) study 2019 (https://vizhub.healthdata.org)</w:t>
      </w:r>
      <w:r w:rsidR="005F5EEA" w:rsidRPr="007C740F">
        <w:t>.</w:t>
      </w:r>
    </w:p>
    <w:p w14:paraId="70EEC77C" w14:textId="77777777" w:rsidR="002323C5" w:rsidRPr="007C740F" w:rsidRDefault="002323C5" w:rsidP="002323C5">
      <w:pPr>
        <w:pStyle w:val="BodyText1"/>
        <w:numPr>
          <w:ilvl w:val="0"/>
          <w:numId w:val="23"/>
        </w:numPr>
      </w:pPr>
      <w:r w:rsidRPr="007C740F">
        <w:t xml:space="preserve">Hook EB, Hamerton JL. 1977. The frequency of chromosome abnormalities detected in consecutive newborn studies – differences between studies – results by sex and by </w:t>
      </w:r>
      <w:r w:rsidRPr="007C740F">
        <w:lastRenderedPageBreak/>
        <w:t>severity of phenotypic involvement. In Hook EB and Porter JH eds. Population cytogenetics. Academic Press. New York. 1977.</w:t>
      </w:r>
    </w:p>
    <w:p w14:paraId="00C55100" w14:textId="03F27DDE" w:rsidR="00641C25" w:rsidRPr="007C740F" w:rsidRDefault="00641C25" w:rsidP="002323C5">
      <w:pPr>
        <w:pStyle w:val="BodyText1"/>
        <w:numPr>
          <w:ilvl w:val="0"/>
          <w:numId w:val="23"/>
        </w:numPr>
      </w:pPr>
      <w:r w:rsidRPr="007C740F">
        <w:rPr>
          <w:lang w:val="en-ZA"/>
        </w:rPr>
        <w:t>Howes RE, Piel FB, Patil AP</w:t>
      </w:r>
      <w:r w:rsidRPr="007C740F">
        <w:rPr>
          <w:i/>
          <w:iCs/>
          <w:lang w:val="en-ZA"/>
        </w:rPr>
        <w:t xml:space="preserve"> et al.</w:t>
      </w:r>
      <w:r w:rsidRPr="007C740F">
        <w:rPr>
          <w:lang w:val="en-ZA"/>
        </w:rPr>
        <w:t xml:space="preserve"> (2012) G6PD deficiency prevalence and estimates of affected populations in malaria endemic countries: a geostatistical model-based map. </w:t>
      </w:r>
      <w:proofErr w:type="spellStart"/>
      <w:r w:rsidRPr="007C740F">
        <w:rPr>
          <w:i/>
          <w:iCs/>
          <w:lang w:val="en-ZA"/>
        </w:rPr>
        <w:t>PLoS</w:t>
      </w:r>
      <w:proofErr w:type="spellEnd"/>
      <w:r w:rsidRPr="007C740F">
        <w:rPr>
          <w:i/>
          <w:iCs/>
          <w:lang w:val="en-ZA"/>
        </w:rPr>
        <w:t xml:space="preserve"> medicine</w:t>
      </w:r>
      <w:r w:rsidRPr="007C740F">
        <w:rPr>
          <w:lang w:val="en-ZA"/>
        </w:rPr>
        <w:t xml:space="preserve"> </w:t>
      </w:r>
      <w:r w:rsidRPr="007C740F">
        <w:rPr>
          <w:b/>
          <w:bCs/>
          <w:lang w:val="en-ZA"/>
        </w:rPr>
        <w:t>9</w:t>
      </w:r>
      <w:r w:rsidRPr="007C740F">
        <w:rPr>
          <w:lang w:val="en-ZA"/>
        </w:rPr>
        <w:t>(11)</w:t>
      </w:r>
      <w:r w:rsidRPr="007C740F">
        <w:rPr>
          <w:b/>
          <w:bCs/>
          <w:lang w:val="en-ZA"/>
        </w:rPr>
        <w:t>,</w:t>
      </w:r>
      <w:r w:rsidRPr="007C740F">
        <w:rPr>
          <w:lang w:val="en-ZA"/>
        </w:rPr>
        <w:t xml:space="preserve"> e1001339.</w:t>
      </w:r>
    </w:p>
    <w:p w14:paraId="1367CD12" w14:textId="77777777" w:rsidR="002323C5" w:rsidRPr="007C740F" w:rsidRDefault="002323C5" w:rsidP="002323C5">
      <w:pPr>
        <w:pStyle w:val="BodyText1"/>
        <w:numPr>
          <w:ilvl w:val="0"/>
          <w:numId w:val="23"/>
        </w:numPr>
      </w:pPr>
      <w:r w:rsidRPr="007C740F">
        <w:t xml:space="preserve">Kancherla V, Wagh K, Johnson Q, Oakley GP. 2018. A 2017 global update on folic acid-preventable spina bifida and anencephaly. Birth Defects Research. 2018; 1–9. </w:t>
      </w:r>
      <w:hyperlink r:id="rId28" w:history="1">
        <w:r w:rsidRPr="007C740F">
          <w:rPr>
            <w:rStyle w:val="Hyperlink"/>
            <w:color w:val="auto"/>
            <w:u w:val="none"/>
          </w:rPr>
          <w:t>https://doi.org/10.1002/bdr2.1366</w:t>
        </w:r>
      </w:hyperlink>
    </w:p>
    <w:p w14:paraId="1032EA1C" w14:textId="77777777" w:rsidR="002323C5" w:rsidRPr="007C740F" w:rsidRDefault="002323C5" w:rsidP="002323C5">
      <w:pPr>
        <w:pStyle w:val="BodyText1"/>
        <w:numPr>
          <w:ilvl w:val="0"/>
          <w:numId w:val="23"/>
        </w:numPr>
      </w:pPr>
      <w:r w:rsidRPr="007C740F">
        <w:t xml:space="preserve">Lanzieri TM, Dollard SC, Bialek SR, Grosse S. 2014. Systematic review of the birth prevalence of congenital cytomegalovirus infection in developing countries. International Journal of Infectious Diseases 22: 44-48. </w:t>
      </w:r>
    </w:p>
    <w:p w14:paraId="0C4BDAFD" w14:textId="72049FF4" w:rsidR="002323C5" w:rsidRPr="007C740F" w:rsidRDefault="002323C5" w:rsidP="002323C5">
      <w:pPr>
        <w:pStyle w:val="BodyText1"/>
        <w:numPr>
          <w:ilvl w:val="0"/>
          <w:numId w:val="23"/>
        </w:numPr>
      </w:pPr>
      <w:r w:rsidRPr="007C740F">
        <w:t xml:space="preserve">Livingstone FB . Frequencies of </w:t>
      </w:r>
      <w:proofErr w:type="spellStart"/>
      <w:r w:rsidRPr="007C740F">
        <w:t>Hemoglobin</w:t>
      </w:r>
      <w:proofErr w:type="spellEnd"/>
      <w:r w:rsidRPr="007C740F">
        <w:t xml:space="preserve"> Variants. Thalassemia, G6PD variants and </w:t>
      </w:r>
      <w:proofErr w:type="spellStart"/>
      <w:r w:rsidRPr="007C740F">
        <w:t>ovalocytosis</w:t>
      </w:r>
      <w:proofErr w:type="spellEnd"/>
      <w:r w:rsidRPr="007C740F">
        <w:t xml:space="preserve"> in human populations. Oxford University Press, New York and Oxford 1985</w:t>
      </w:r>
      <w:r w:rsidR="005F5EEA" w:rsidRPr="007C740F">
        <w:t>.</w:t>
      </w:r>
    </w:p>
    <w:p w14:paraId="551CD2D5" w14:textId="367947B5" w:rsidR="002323C5" w:rsidRPr="007C740F" w:rsidRDefault="002323C5" w:rsidP="002323C5">
      <w:pPr>
        <w:pStyle w:val="BodyText1"/>
        <w:numPr>
          <w:ilvl w:val="0"/>
          <w:numId w:val="23"/>
        </w:numPr>
      </w:pPr>
      <w:r w:rsidRPr="007C740F">
        <w:t>Luzzatto L, Mehta A. Glucose-6-phosphate dehydrogenase deficiency. In Scriver CR, Beaudet AL, Sly WS, Valle D. (Eds). The metabolic basis of inherited disease. 7th edition. McGraw Hill Inc, New York. 1995</w:t>
      </w:r>
      <w:r w:rsidR="005F5EEA" w:rsidRPr="007C740F">
        <w:t>.</w:t>
      </w:r>
    </w:p>
    <w:p w14:paraId="4DD114B0" w14:textId="65C0AC2A" w:rsidR="002323C5" w:rsidRPr="007C740F" w:rsidRDefault="002323C5" w:rsidP="002323C5">
      <w:pPr>
        <w:pStyle w:val="BodyText1"/>
        <w:numPr>
          <w:ilvl w:val="0"/>
          <w:numId w:val="23"/>
        </w:numPr>
      </w:pPr>
      <w:r w:rsidRPr="007C740F">
        <w:t>Malherbe HL, Modell B, Blencowe H, Strong KL, Aldous C. A review of key terminology and definitions used for birth defects globally. J Community Genet. 2023;14:241-62. https//www.doi.org/10.1007/s12687-023-00642-2</w:t>
      </w:r>
      <w:r w:rsidR="005F5EEA" w:rsidRPr="007C740F">
        <w:t>.</w:t>
      </w:r>
    </w:p>
    <w:p w14:paraId="69137F93" w14:textId="2B99B70D" w:rsidR="002323C5" w:rsidRPr="007C740F" w:rsidRDefault="002323C5" w:rsidP="002323C5">
      <w:pPr>
        <w:pStyle w:val="BodyText1"/>
        <w:numPr>
          <w:ilvl w:val="0"/>
          <w:numId w:val="23"/>
        </w:numPr>
      </w:pPr>
      <w:r w:rsidRPr="007C740F">
        <w:t>Modell B, Darlison M. 2008. Global epidemiology of haemoglobin disorders, and derived service indicators. Bulletin of the WHO 86. 480-7</w:t>
      </w:r>
      <w:r w:rsidR="005F5EEA" w:rsidRPr="007C740F">
        <w:t>.</w:t>
      </w:r>
    </w:p>
    <w:p w14:paraId="2C1209DD" w14:textId="77777777" w:rsidR="002323C5" w:rsidRPr="007C740F" w:rsidRDefault="002323C5" w:rsidP="002323C5">
      <w:pPr>
        <w:pStyle w:val="BodyText1"/>
        <w:numPr>
          <w:ilvl w:val="0"/>
          <w:numId w:val="23"/>
        </w:numPr>
      </w:pPr>
      <w:r w:rsidRPr="007C740F">
        <w:t xml:space="preserve">Modell B, Kuliev AM, Wagner M. Community Genetics Services in Europe.  WHO Regional Publications, European Series No 38.  WHO Regional Office for Europe, 8 </w:t>
      </w:r>
      <w:proofErr w:type="spellStart"/>
      <w:r w:rsidRPr="007C740F">
        <w:t>Scherfigsvej</w:t>
      </w:r>
      <w:proofErr w:type="spellEnd"/>
      <w:r w:rsidRPr="007C740F">
        <w:t>, DK-2100, Copenhagen, Denmark. 1992. ISBN 92 890 1301 X. ISSN 0378-2255.</w:t>
      </w:r>
    </w:p>
    <w:p w14:paraId="4B11267F" w14:textId="431047DD" w:rsidR="002323C5" w:rsidRPr="007C740F" w:rsidRDefault="002323C5" w:rsidP="002323C5">
      <w:pPr>
        <w:pStyle w:val="BodyText1"/>
        <w:numPr>
          <w:ilvl w:val="0"/>
          <w:numId w:val="23"/>
        </w:numPr>
      </w:pPr>
      <w:r w:rsidRPr="007C740F">
        <w:t xml:space="preserve">Moncada PA, Montoya JG. Toxoplasmosis in the </w:t>
      </w:r>
      <w:proofErr w:type="spellStart"/>
      <w:r w:rsidRPr="007C740F">
        <w:t>fetus</w:t>
      </w:r>
      <w:proofErr w:type="spellEnd"/>
      <w:r w:rsidRPr="007C740F">
        <w:t xml:space="preserve"> and newborn: an update on prevalence, diagnosis and treatment. Expert Rev. Anti Infect. Ther. 10(7), 815–828 (2012)</w:t>
      </w:r>
      <w:r w:rsidR="005F5EEA" w:rsidRPr="007C740F">
        <w:t>.</w:t>
      </w:r>
    </w:p>
    <w:p w14:paraId="6BFEAD5A" w14:textId="77777777" w:rsidR="002323C5" w:rsidRPr="007C740F" w:rsidRDefault="002323C5" w:rsidP="002323C5">
      <w:pPr>
        <w:pStyle w:val="BodyText1"/>
        <w:numPr>
          <w:ilvl w:val="0"/>
          <w:numId w:val="23"/>
        </w:numPr>
      </w:pPr>
      <w:r w:rsidRPr="007C740F">
        <w:t xml:space="preserve">Mourant AE, Kopec AC, </w:t>
      </w:r>
      <w:proofErr w:type="spellStart"/>
      <w:r w:rsidRPr="007C740F">
        <w:t>Domaniewska</w:t>
      </w:r>
      <w:proofErr w:type="spellEnd"/>
      <w:r w:rsidRPr="007C740F">
        <w:t>-Sobczak. The distribution of the human blood groups and other polymorphisms. Oxford university Press 1976.</w:t>
      </w:r>
    </w:p>
    <w:p w14:paraId="7E2D0CF0" w14:textId="30E34E57" w:rsidR="005A019B" w:rsidRPr="007C740F" w:rsidRDefault="005A019B" w:rsidP="002323C5">
      <w:pPr>
        <w:pStyle w:val="BodyText1"/>
        <w:numPr>
          <w:ilvl w:val="0"/>
          <w:numId w:val="23"/>
        </w:numPr>
      </w:pPr>
      <w:r w:rsidRPr="007C740F">
        <w:rPr>
          <w:lang w:val="en-ZA"/>
        </w:rPr>
        <w:t xml:space="preserve">Murdock GP (1967) Ethnographic atlas: a summary. </w:t>
      </w:r>
      <w:r w:rsidRPr="007C740F">
        <w:rPr>
          <w:i/>
          <w:iCs/>
          <w:lang w:val="en-ZA"/>
        </w:rPr>
        <w:t>Ethnology</w:t>
      </w:r>
      <w:r w:rsidRPr="007C740F">
        <w:rPr>
          <w:lang w:val="en-ZA"/>
        </w:rPr>
        <w:t xml:space="preserve"> </w:t>
      </w:r>
      <w:r w:rsidRPr="007C740F">
        <w:rPr>
          <w:b/>
          <w:bCs/>
          <w:lang w:val="en-ZA"/>
        </w:rPr>
        <w:t>6</w:t>
      </w:r>
      <w:r w:rsidRPr="007C740F">
        <w:rPr>
          <w:lang w:val="en-ZA"/>
        </w:rPr>
        <w:t>(2)</w:t>
      </w:r>
      <w:r w:rsidRPr="007C740F">
        <w:rPr>
          <w:b/>
          <w:bCs/>
          <w:lang w:val="en-ZA"/>
        </w:rPr>
        <w:t>,</w:t>
      </w:r>
      <w:r w:rsidRPr="007C740F">
        <w:rPr>
          <w:lang w:val="en-ZA"/>
        </w:rPr>
        <w:t xml:space="preserve"> 109-236.</w:t>
      </w:r>
    </w:p>
    <w:p w14:paraId="244D4005" w14:textId="77777777" w:rsidR="002323C5" w:rsidRPr="007C740F" w:rsidRDefault="002323C5" w:rsidP="002323C5">
      <w:pPr>
        <w:pStyle w:val="BodyText1"/>
        <w:numPr>
          <w:ilvl w:val="0"/>
          <w:numId w:val="23"/>
        </w:numPr>
      </w:pPr>
      <w:r w:rsidRPr="007C740F">
        <w:t>Myrianthopoulos NC, Chung CS. 1974. Congenital malformations in singletons: epidemiological survey. Birth Defects Original Articles Series Vol 10. 1-58. The National Foundation March of Dimes.</w:t>
      </w:r>
    </w:p>
    <w:p w14:paraId="429DD011" w14:textId="6953C3C8" w:rsidR="002323C5" w:rsidRPr="007C740F" w:rsidRDefault="002323C5" w:rsidP="002323C5">
      <w:pPr>
        <w:pStyle w:val="BodyText1"/>
        <w:numPr>
          <w:ilvl w:val="0"/>
          <w:numId w:val="23"/>
        </w:numPr>
      </w:pPr>
      <w:r w:rsidRPr="007C740F">
        <w:t>Nacul LC, Stewart A, Alberg C, Chowdhury S, Darlison MW, Grollman C. Hall A, Modell B, Moorthie S, Sagoo</w:t>
      </w:r>
      <w:r w:rsidR="008D14C8" w:rsidRPr="007C740F">
        <w:t xml:space="preserve"> </w:t>
      </w:r>
      <w:r w:rsidRPr="007C740F">
        <w:t>GS, Burton H. 2013. A</w:t>
      </w:r>
      <w:r w:rsidR="002A52A5" w:rsidRPr="007C740F">
        <w:t xml:space="preserve"> </w:t>
      </w:r>
      <w:r w:rsidRPr="007C740F">
        <w:t>Toolkit to assess health needs for congenital disorders in low- and middle-income countries: an instrument for public health action. Journal of Public Health 36: 243-250.</w:t>
      </w:r>
    </w:p>
    <w:p w14:paraId="3B43E442" w14:textId="77777777" w:rsidR="002323C5" w:rsidRPr="007C740F" w:rsidRDefault="002323C5" w:rsidP="002323C5">
      <w:pPr>
        <w:pStyle w:val="BodyText1"/>
        <w:numPr>
          <w:ilvl w:val="0"/>
          <w:numId w:val="23"/>
        </w:numPr>
      </w:pPr>
      <w:r w:rsidRPr="007C740F">
        <w:t>Neel JV. 1958. A study of major congenital defects in Japanese infants. American Journal of Human Genetics 10: 398-445.</w:t>
      </w:r>
    </w:p>
    <w:p w14:paraId="369887C7" w14:textId="619EA082" w:rsidR="002323C5" w:rsidRPr="007C740F" w:rsidRDefault="002323C5" w:rsidP="002323C5">
      <w:pPr>
        <w:pStyle w:val="BodyText1"/>
        <w:numPr>
          <w:ilvl w:val="0"/>
          <w:numId w:val="23"/>
        </w:numPr>
      </w:pPr>
      <w:r w:rsidRPr="007C740F">
        <w:lastRenderedPageBreak/>
        <w:t xml:space="preserve">Newman L, Kamb M, Hawkes S, Gomez G, SayL, </w:t>
      </w:r>
      <w:proofErr w:type="spellStart"/>
      <w:r w:rsidRPr="007C740F">
        <w:t>Seuc</w:t>
      </w:r>
      <w:proofErr w:type="spellEnd"/>
      <w:r w:rsidRPr="007C740F">
        <w:t xml:space="preserve"> A, </w:t>
      </w:r>
      <w:proofErr w:type="spellStart"/>
      <w:r w:rsidRPr="007C740F">
        <w:t>Broutet</w:t>
      </w:r>
      <w:proofErr w:type="spellEnd"/>
      <w:r w:rsidRPr="007C740F">
        <w:t xml:space="preserve"> N. 2013. Global Estimates of Syphilis in Pregnancy and Associated Adverse Outcomes: Analysis of Multinational Antenatal Surveillance Data. PLOS medicine February 2013 | Volume 10 | Issue 2 | e1001396</w:t>
      </w:r>
      <w:r w:rsidR="00641C25" w:rsidRPr="007C740F">
        <w:t>.</w:t>
      </w:r>
    </w:p>
    <w:p w14:paraId="149DA1EE" w14:textId="1D807A17" w:rsidR="002323C5" w:rsidRPr="007C740F" w:rsidRDefault="002323C5" w:rsidP="002323C5">
      <w:pPr>
        <w:pStyle w:val="BodyText1"/>
        <w:numPr>
          <w:ilvl w:val="0"/>
          <w:numId w:val="23"/>
        </w:numPr>
      </w:pPr>
      <w:r w:rsidRPr="007C740F">
        <w:t>Schull WJ, Neel JV. The effects of inbreeding on Japanese children. Harper and Row, New York. 1956</w:t>
      </w:r>
      <w:r w:rsidR="00641C25" w:rsidRPr="007C740F">
        <w:t>.</w:t>
      </w:r>
    </w:p>
    <w:p w14:paraId="7E59E99F" w14:textId="77777777" w:rsidR="002323C5" w:rsidRPr="007C740F" w:rsidRDefault="002323C5" w:rsidP="002323C5">
      <w:pPr>
        <w:pStyle w:val="BodyText1"/>
        <w:numPr>
          <w:ilvl w:val="0"/>
          <w:numId w:val="23"/>
        </w:numPr>
      </w:pPr>
      <w:r w:rsidRPr="007C740F">
        <w:t xml:space="preserve">Schull WJ. 1958. Empirical risks in consanguineous marriages: sex ratio, malformation and viability. American Journal of Human Genetics 10: 294-343. </w:t>
      </w:r>
    </w:p>
    <w:p w14:paraId="5A646183" w14:textId="77777777" w:rsidR="002323C5" w:rsidRPr="007C740F" w:rsidRDefault="002323C5" w:rsidP="002323C5">
      <w:pPr>
        <w:pStyle w:val="BodyText1"/>
        <w:numPr>
          <w:ilvl w:val="0"/>
          <w:numId w:val="23"/>
        </w:numPr>
        <w:rPr>
          <w:color w:val="000000"/>
        </w:rPr>
      </w:pPr>
      <w:r w:rsidRPr="007C740F">
        <w:rPr>
          <w:color w:val="000000"/>
        </w:rPr>
        <w:t xml:space="preserve">Schull WJ. 2003. The children of atomic bomb survivors: a synopsis.  J. </w:t>
      </w:r>
      <w:proofErr w:type="spellStart"/>
      <w:r w:rsidRPr="007C740F">
        <w:rPr>
          <w:color w:val="000000"/>
        </w:rPr>
        <w:t>Radiol</w:t>
      </w:r>
      <w:proofErr w:type="spellEnd"/>
      <w:r w:rsidRPr="007C740F">
        <w:rPr>
          <w:color w:val="000000"/>
        </w:rPr>
        <w:t>. Prot. 23: 369–384</w:t>
      </w:r>
      <w:r w:rsidRPr="007C740F">
        <w:rPr>
          <w:color w:val="000000"/>
          <w:sz w:val="16"/>
          <w:szCs w:val="16"/>
        </w:rPr>
        <w:t xml:space="preserve">. </w:t>
      </w:r>
      <w:r w:rsidRPr="007C740F">
        <w:rPr>
          <w:color w:val="000000"/>
        </w:rPr>
        <w:t>2003.</w:t>
      </w:r>
    </w:p>
    <w:p w14:paraId="57FDB608" w14:textId="77777777" w:rsidR="002323C5" w:rsidRPr="007C740F" w:rsidRDefault="002323C5" w:rsidP="002323C5">
      <w:pPr>
        <w:pStyle w:val="BodyText1"/>
        <w:numPr>
          <w:ilvl w:val="0"/>
          <w:numId w:val="23"/>
        </w:numPr>
      </w:pPr>
      <w:r w:rsidRPr="007C740F">
        <w:t>Schull WJ, Otake M, Neel JV (1981) Genetic effects of the atomic bombs: a reappraisal. Science 213:1220-1227.</w:t>
      </w:r>
    </w:p>
    <w:p w14:paraId="3B3D29C6" w14:textId="7CF6DB79" w:rsidR="002323C5" w:rsidRPr="007C740F" w:rsidRDefault="002323C5" w:rsidP="002323C5">
      <w:pPr>
        <w:pStyle w:val="BodyText1"/>
        <w:numPr>
          <w:ilvl w:val="0"/>
          <w:numId w:val="23"/>
        </w:numPr>
      </w:pPr>
      <w:r w:rsidRPr="007C740F">
        <w:t>Stevens GA et al. 2016. Guidelines for accurate and transparent health estimates reporting: the GATHER statement. PLOS Medicine June 28 2016</w:t>
      </w:r>
      <w:r w:rsidR="00035A36" w:rsidRPr="007C740F">
        <w:t>.</w:t>
      </w:r>
    </w:p>
    <w:p w14:paraId="347854BE" w14:textId="002B7D9B" w:rsidR="002323C5" w:rsidRPr="007C740F" w:rsidRDefault="002323C5" w:rsidP="002323C5">
      <w:pPr>
        <w:pStyle w:val="BodyText1"/>
        <w:numPr>
          <w:ilvl w:val="0"/>
          <w:numId w:val="23"/>
        </w:numPr>
      </w:pPr>
      <w:r w:rsidRPr="007C740F">
        <w:t>Stevenson AC 1959. The load of hereditary defects in human populations. Radiation Research, Supplement 1: 306-325</w:t>
      </w:r>
      <w:r w:rsidR="00035A36" w:rsidRPr="007C740F">
        <w:t>.</w:t>
      </w:r>
    </w:p>
    <w:p w14:paraId="49C37200" w14:textId="0EAE4E0F" w:rsidR="00035A36" w:rsidRPr="007C740F" w:rsidRDefault="00035A36" w:rsidP="002323C5">
      <w:pPr>
        <w:pStyle w:val="BodyText1"/>
        <w:numPr>
          <w:ilvl w:val="0"/>
          <w:numId w:val="23"/>
        </w:numPr>
      </w:pPr>
      <w:r w:rsidRPr="007C740F">
        <w:rPr>
          <w:lang w:val="en-ZA"/>
        </w:rPr>
        <w:t xml:space="preserve">Tennant PW, Pearce MS, </w:t>
      </w:r>
      <w:proofErr w:type="spellStart"/>
      <w:r w:rsidRPr="007C740F">
        <w:rPr>
          <w:lang w:val="en-ZA"/>
        </w:rPr>
        <w:t>Bythell</w:t>
      </w:r>
      <w:proofErr w:type="spellEnd"/>
      <w:r w:rsidRPr="007C740F">
        <w:rPr>
          <w:lang w:val="en-ZA"/>
        </w:rPr>
        <w:t xml:space="preserve"> M</w:t>
      </w:r>
      <w:r w:rsidRPr="007C740F">
        <w:rPr>
          <w:i/>
          <w:iCs/>
          <w:lang w:val="en-ZA"/>
        </w:rPr>
        <w:t xml:space="preserve"> et al.</w:t>
      </w:r>
      <w:r w:rsidRPr="007C740F">
        <w:rPr>
          <w:lang w:val="en-ZA"/>
        </w:rPr>
        <w:t xml:space="preserve"> (2010) 20-year survival of children born with congenital anomalies: a population-based study. </w:t>
      </w:r>
      <w:r w:rsidRPr="007C740F">
        <w:rPr>
          <w:i/>
          <w:iCs/>
          <w:lang w:val="en-ZA"/>
        </w:rPr>
        <w:t>The Lancet</w:t>
      </w:r>
      <w:r w:rsidRPr="007C740F">
        <w:rPr>
          <w:lang w:val="en-ZA"/>
        </w:rPr>
        <w:t xml:space="preserve"> </w:t>
      </w:r>
      <w:r w:rsidRPr="007C740F">
        <w:rPr>
          <w:b/>
          <w:bCs/>
          <w:lang w:val="en-ZA"/>
        </w:rPr>
        <w:t>375</w:t>
      </w:r>
      <w:r w:rsidRPr="007C740F">
        <w:rPr>
          <w:lang w:val="en-ZA"/>
        </w:rPr>
        <w:t>(9715)</w:t>
      </w:r>
      <w:r w:rsidRPr="007C740F">
        <w:rPr>
          <w:b/>
          <w:bCs/>
          <w:lang w:val="en-ZA"/>
        </w:rPr>
        <w:t>,</w:t>
      </w:r>
      <w:r w:rsidRPr="007C740F">
        <w:rPr>
          <w:lang w:val="en-ZA"/>
        </w:rPr>
        <w:t xml:space="preserve"> 649-656.</w:t>
      </w:r>
    </w:p>
    <w:p w14:paraId="0757BF44" w14:textId="77777777" w:rsidR="002323C5" w:rsidRPr="007C740F" w:rsidRDefault="002323C5" w:rsidP="002323C5">
      <w:pPr>
        <w:pStyle w:val="BodyText1"/>
        <w:numPr>
          <w:ilvl w:val="0"/>
          <w:numId w:val="23"/>
        </w:numPr>
      </w:pPr>
      <w:r w:rsidRPr="007C740F">
        <w:t>Trimble BK, Doughty JH. 1974. The amount of hereditary disease in human populations. Annals of Human Genetics 38: 199-223.</w:t>
      </w:r>
    </w:p>
    <w:p w14:paraId="4C5136B2" w14:textId="5725E142" w:rsidR="002323C5" w:rsidRPr="007C740F" w:rsidRDefault="002323C5" w:rsidP="002323C5">
      <w:pPr>
        <w:pStyle w:val="BodyText1"/>
        <w:numPr>
          <w:ilvl w:val="0"/>
          <w:numId w:val="23"/>
        </w:numPr>
      </w:pPr>
      <w:r w:rsidRPr="007C740F">
        <w:t>United Nations Scientific Committee on the Effects of Atomic Radiation. 1977. Sources and biological effects of ionising radiation. 1977 report to the General Assembly, with Annexes. United Nations Publications. Sales number E.77.IX.I. New York</w:t>
      </w:r>
      <w:r w:rsidR="00035A36" w:rsidRPr="007C740F">
        <w:t>.</w:t>
      </w:r>
    </w:p>
    <w:p w14:paraId="62AC1DD5" w14:textId="1720810A" w:rsidR="002323C5" w:rsidRPr="007C740F" w:rsidRDefault="002323C5" w:rsidP="002323C5">
      <w:pPr>
        <w:pStyle w:val="BodyText1"/>
        <w:numPr>
          <w:ilvl w:val="0"/>
          <w:numId w:val="23"/>
        </w:numPr>
      </w:pPr>
      <w:r w:rsidRPr="007C740F">
        <w:t>United Nations Scientific Committee on the Effects of Atomic Radiation. 1982. Sources and biological effects. 1982 report to the General Assembly, with Annexes. United Nations Publications. Sales number E.82.IX.06300P. New York</w:t>
      </w:r>
      <w:r w:rsidR="00035A36" w:rsidRPr="007C740F">
        <w:t>.</w:t>
      </w:r>
    </w:p>
    <w:p w14:paraId="0001660D" w14:textId="77777777" w:rsidR="002323C5" w:rsidRPr="007C740F" w:rsidRDefault="002323C5" w:rsidP="002323C5">
      <w:pPr>
        <w:pStyle w:val="BodyText1"/>
        <w:numPr>
          <w:ilvl w:val="0"/>
          <w:numId w:val="23"/>
        </w:numPr>
      </w:pPr>
      <w:r w:rsidRPr="007C740F">
        <w:t>United Nations Scientific Committee on the Effects of Atomic Radiation. 1986. Genetic and somatic effect of ionising radiation. United Nations, New York.</w:t>
      </w:r>
    </w:p>
    <w:p w14:paraId="50B4A2E4" w14:textId="3D4DEEF5" w:rsidR="002323C5" w:rsidRPr="007C740F" w:rsidRDefault="002323C5" w:rsidP="002323C5">
      <w:pPr>
        <w:pStyle w:val="BodyText1"/>
        <w:numPr>
          <w:ilvl w:val="0"/>
          <w:numId w:val="23"/>
        </w:numPr>
      </w:pPr>
      <w:r w:rsidRPr="007C740F">
        <w:t>WHO 1966a. Congenital malformations. A report of a study of a series of consecutive births in 24 centres. Stevenson AC, Johnston HA, Stewart MIP, Golding DR. WHO technical report. Geneva.</w:t>
      </w:r>
    </w:p>
    <w:p w14:paraId="3CD9D813" w14:textId="77777777" w:rsidR="002323C5" w:rsidRPr="007C740F" w:rsidRDefault="002323C5" w:rsidP="002323C5">
      <w:pPr>
        <w:pStyle w:val="BodyText1"/>
        <w:numPr>
          <w:ilvl w:val="0"/>
          <w:numId w:val="23"/>
        </w:numPr>
        <w:rPr>
          <w:color w:val="000000"/>
        </w:rPr>
      </w:pPr>
      <w:r w:rsidRPr="007C740F">
        <w:rPr>
          <w:color w:val="000000"/>
        </w:rPr>
        <w:t>WHO 1966b. Haemoglobinopathies and allied disorders. Report of a WHO scientific group. World Health Organization Technical Report Series 1966, No 338. Geneva.</w:t>
      </w:r>
    </w:p>
    <w:p w14:paraId="0C43310A" w14:textId="77777777" w:rsidR="002323C5" w:rsidRPr="007C740F" w:rsidRDefault="002323C5" w:rsidP="002323C5">
      <w:pPr>
        <w:pStyle w:val="BodyText1"/>
        <w:numPr>
          <w:ilvl w:val="0"/>
          <w:numId w:val="23"/>
        </w:numPr>
      </w:pPr>
      <w:r w:rsidRPr="007C740F">
        <w:rPr>
          <w:color w:val="000000"/>
        </w:rPr>
        <w:t>WHO 1972. Treatment of haemoglobinopathies and allied disorders. Report of a WHO scientific Group. World Health Organization Technical Report Series 1972, No 509. Geneva.</w:t>
      </w:r>
    </w:p>
    <w:p w14:paraId="08BD01D6" w14:textId="128BB421" w:rsidR="002323C5" w:rsidRPr="007C740F" w:rsidRDefault="002323C5" w:rsidP="002323C5">
      <w:pPr>
        <w:pStyle w:val="BodyText1"/>
        <w:numPr>
          <w:ilvl w:val="0"/>
          <w:numId w:val="23"/>
        </w:numPr>
      </w:pPr>
      <w:r w:rsidRPr="007C740F">
        <w:t>WHO 1982. WHO Working Group. Hereditary Anaemias: genetic basis, clinical features, diagnosis and treatment. Bulletin of the World Health Organisation 60: 643-660. 1982</w:t>
      </w:r>
      <w:r w:rsidR="00035A36" w:rsidRPr="007C740F">
        <w:t>.</w:t>
      </w:r>
    </w:p>
    <w:p w14:paraId="55FC20DE" w14:textId="77777777" w:rsidR="002323C5" w:rsidRPr="007C740F" w:rsidRDefault="002323C5" w:rsidP="002323C5">
      <w:pPr>
        <w:pStyle w:val="BodyText1"/>
        <w:numPr>
          <w:ilvl w:val="0"/>
          <w:numId w:val="23"/>
        </w:numPr>
      </w:pPr>
      <w:r w:rsidRPr="007C740F">
        <w:lastRenderedPageBreak/>
        <w:t>WHO 1983. Memorandum from a WHO meeting.  Community Control of Hereditary Anaemias, Bulletin of the World Health Organisation 61: 63-80. 1983.</w:t>
      </w:r>
    </w:p>
    <w:p w14:paraId="4485D258" w14:textId="26536812" w:rsidR="002323C5" w:rsidRPr="007C740F" w:rsidRDefault="002323C5" w:rsidP="002323C5">
      <w:pPr>
        <w:pStyle w:val="BodyText1"/>
        <w:numPr>
          <w:ilvl w:val="0"/>
          <w:numId w:val="23"/>
        </w:numPr>
        <w:rPr>
          <w:u w:val="single"/>
        </w:rPr>
      </w:pPr>
      <w:r w:rsidRPr="007C740F">
        <w:t>WHO 1985a. Community approaches to the control of hereditary diseases.  Report of a WHO Advisory Group on Hereditary Diseases. Geneva  3</w:t>
      </w:r>
      <w:r w:rsidRPr="007C740F">
        <w:noBreakHyphen/>
        <w:t xml:space="preserve">5 October 1985. Unpublished WHO document HMG/AG/85.10. http://www.who.int/genomics/publications/en/index.html </w:t>
      </w:r>
    </w:p>
    <w:p w14:paraId="3CE04C56" w14:textId="0BADD1B9" w:rsidR="000E2F62" w:rsidRPr="007C740F" w:rsidRDefault="000E2F62" w:rsidP="002323C5">
      <w:pPr>
        <w:pStyle w:val="BodyText1"/>
        <w:numPr>
          <w:ilvl w:val="0"/>
          <w:numId w:val="23"/>
        </w:numPr>
      </w:pPr>
      <w:r w:rsidRPr="007C740F">
        <w:t xml:space="preserve">WHO 1985b. Update of the Progress of Haemoglobinopathies Control.  Report of the Third and Fourth Annual Meetings of the WHO Working Group for the Community Control of Hereditary Anaemias. Unpublished  Report of the WHO: HMG/WG/85.8.  </w:t>
      </w:r>
    </w:p>
    <w:p w14:paraId="5CE350CF" w14:textId="77777777" w:rsidR="002323C5" w:rsidRPr="007C740F" w:rsidRDefault="002323C5" w:rsidP="002323C5">
      <w:pPr>
        <w:pStyle w:val="BodyText1"/>
        <w:numPr>
          <w:ilvl w:val="0"/>
          <w:numId w:val="23"/>
        </w:numPr>
      </w:pPr>
      <w:r w:rsidRPr="007C740F">
        <w:t>WHO 2000. Primary health care approaches for the control of congenital disorders and disability. Report of a WHO meeting Cairo, 6-8 December 1999. WHO/HGN/WG/00.1</w:t>
      </w:r>
    </w:p>
    <w:p w14:paraId="17A0030C" w14:textId="77777777" w:rsidR="002323C5" w:rsidRPr="007C740F" w:rsidRDefault="002323C5" w:rsidP="002323C5">
      <w:pPr>
        <w:pStyle w:val="BodyText1"/>
        <w:numPr>
          <w:ilvl w:val="0"/>
          <w:numId w:val="23"/>
        </w:numPr>
      </w:pPr>
      <w:r w:rsidRPr="007C740F">
        <w:t xml:space="preserve">WHO 2004. de Benoist B, Andersson M, Egli I, </w:t>
      </w:r>
      <w:proofErr w:type="spellStart"/>
      <w:r w:rsidRPr="007C740F">
        <w:t>Takkouche</w:t>
      </w:r>
      <w:proofErr w:type="spellEnd"/>
      <w:r w:rsidRPr="007C740F">
        <w:t xml:space="preserve"> B, Allen H. Iodine status worldwide. WHO MGDb on Iodine Deficiency.</w:t>
      </w:r>
    </w:p>
    <w:p w14:paraId="70A1A1C6" w14:textId="77777777" w:rsidR="002323C5" w:rsidRPr="007C740F" w:rsidRDefault="002323C5" w:rsidP="002323C5">
      <w:pPr>
        <w:pStyle w:val="BodyText1"/>
        <w:numPr>
          <w:ilvl w:val="0"/>
          <w:numId w:val="23"/>
        </w:numPr>
      </w:pPr>
      <w:r w:rsidRPr="007C740F">
        <w:t>WHO 2006. Management of birth defects &amp; haemoglobin disorders. Report of a joint WHO-MOD meeting. WHO, Geneva, Switzerland. May, 2006.</w:t>
      </w:r>
    </w:p>
    <w:p w14:paraId="03C80E89" w14:textId="77777777" w:rsidR="002323C5" w:rsidRPr="007C740F" w:rsidRDefault="002323C5" w:rsidP="002323C5">
      <w:pPr>
        <w:pStyle w:val="BodyText1"/>
        <w:numPr>
          <w:ilvl w:val="0"/>
          <w:numId w:val="23"/>
        </w:numPr>
        <w:rPr>
          <w:lang w:eastAsia="en-GB"/>
        </w:rPr>
      </w:pPr>
      <w:r w:rsidRPr="007C740F">
        <w:rPr>
          <w:lang w:eastAsia="en-GB"/>
        </w:rPr>
        <w:t>WHO 2013a. Meeting to develop a global consensus on preconception care to reduce maternal and childhood mortality and morbidity. Geneva, World Health Organization, 2013.</w:t>
      </w:r>
    </w:p>
    <w:p w14:paraId="2CE25CF0" w14:textId="0AB4C85E" w:rsidR="002323C5" w:rsidRPr="007C740F" w:rsidRDefault="002323C5" w:rsidP="002323C5">
      <w:pPr>
        <w:pStyle w:val="BodyText1"/>
        <w:numPr>
          <w:ilvl w:val="0"/>
          <w:numId w:val="23"/>
        </w:numPr>
      </w:pPr>
      <w:r w:rsidRPr="007C740F">
        <w:t>WHO 2013b. Policy brief: Preconception care: maximising the benefits for maternal and child health.</w:t>
      </w:r>
      <w:r w:rsidR="00F555B6" w:rsidRPr="007C740F">
        <w:t xml:space="preserve"> </w:t>
      </w:r>
      <w:hyperlink r:id="rId29" w:history="1">
        <w:r w:rsidR="00F555B6" w:rsidRPr="007C740F">
          <w:rPr>
            <w:rStyle w:val="Hyperlink"/>
            <w:color w:val="auto"/>
            <w:u w:val="none"/>
          </w:rPr>
          <w:t>http://www.who.int/maternal_child_adolescent/documents/preconception_care_policy_brief.pdf</w:t>
        </w:r>
      </w:hyperlink>
    </w:p>
    <w:p w14:paraId="03141B63" w14:textId="77777777" w:rsidR="002323C5" w:rsidRPr="007C740F" w:rsidRDefault="002323C5" w:rsidP="002323C5">
      <w:pPr>
        <w:pStyle w:val="BodyText1"/>
        <w:numPr>
          <w:ilvl w:val="0"/>
          <w:numId w:val="23"/>
        </w:numPr>
      </w:pPr>
      <w:r w:rsidRPr="007C740F">
        <w:t xml:space="preserve">Williams EJ, Embleton ND, Clark JE, </w:t>
      </w:r>
      <w:proofErr w:type="spellStart"/>
      <w:r w:rsidRPr="007C740F">
        <w:t>Bythell</w:t>
      </w:r>
      <w:proofErr w:type="spellEnd"/>
      <w:r w:rsidRPr="007C740F">
        <w:t xml:space="preserve"> M, Ward Platt MP, Berrington JE. 2013. Viral Infections: Contributions to Late Fetal Death, Stillbirth, and Infant Death. J </w:t>
      </w:r>
      <w:proofErr w:type="spellStart"/>
      <w:r w:rsidRPr="007C740F">
        <w:t>Pediatr</w:t>
      </w:r>
      <w:proofErr w:type="spellEnd"/>
      <w:r w:rsidRPr="007C740F">
        <w:t xml:space="preserve"> 2013;163:424-8. (Cytomegalovirus).</w:t>
      </w:r>
    </w:p>
    <w:p w14:paraId="356B6148" w14:textId="77777777" w:rsidR="002323C5" w:rsidRPr="007C740F" w:rsidRDefault="002323C5" w:rsidP="002323C5">
      <w:pPr>
        <w:pStyle w:val="BodyText1"/>
        <w:numPr>
          <w:ilvl w:val="0"/>
          <w:numId w:val="23"/>
        </w:numPr>
      </w:pPr>
      <w:r w:rsidRPr="007C740F">
        <w:t xml:space="preserve">Williams J, Mai CT, </w:t>
      </w:r>
      <w:proofErr w:type="spellStart"/>
      <w:r w:rsidRPr="007C740F">
        <w:t>Mulinare</w:t>
      </w:r>
      <w:proofErr w:type="spellEnd"/>
      <w:r w:rsidRPr="007C740F">
        <w:t xml:space="preserve"> J, Isenburg J, Flood TJ, Ethen M, </w:t>
      </w:r>
      <w:proofErr w:type="spellStart"/>
      <w:r w:rsidRPr="007C740F">
        <w:t>Frohnert</w:t>
      </w:r>
      <w:proofErr w:type="spellEnd"/>
      <w:r w:rsidRPr="007C740F">
        <w:t xml:space="preserve"> B, Kirby. RS; </w:t>
      </w:r>
      <w:proofErr w:type="spellStart"/>
      <w:r w:rsidRPr="007C740F">
        <w:t>Centers</w:t>
      </w:r>
      <w:proofErr w:type="spellEnd"/>
      <w:r w:rsidRPr="007C740F">
        <w:t xml:space="preserve"> for Disease Control and Prevention.2015. Updated estimates of neural tube defects prevented by mandatory folic Acid fortification - United States, 1995-2011. MMWR </w:t>
      </w:r>
      <w:proofErr w:type="spellStart"/>
      <w:r w:rsidRPr="007C740F">
        <w:t>Morb</w:t>
      </w:r>
      <w:proofErr w:type="spellEnd"/>
      <w:r w:rsidRPr="007C740F">
        <w:t xml:space="preserve"> Mortal </w:t>
      </w:r>
      <w:proofErr w:type="spellStart"/>
      <w:r w:rsidRPr="007C740F">
        <w:t>Wkly</w:t>
      </w:r>
      <w:proofErr w:type="spellEnd"/>
      <w:r w:rsidRPr="007C740F">
        <w:t xml:space="preserve"> Rep. 2015 Jan 16;64(1):1-5.</w:t>
      </w:r>
    </w:p>
    <w:p w14:paraId="5676511E" w14:textId="77777777" w:rsidR="005A10D4" w:rsidRPr="007C740F" w:rsidRDefault="005A10D4">
      <w:r w:rsidRPr="007C740F">
        <w:br w:type="page"/>
      </w:r>
    </w:p>
    <w:p w14:paraId="79AEED2D" w14:textId="77777777" w:rsidR="00C064CB" w:rsidRPr="007C740F" w:rsidRDefault="00340B71" w:rsidP="00340B71">
      <w:pPr>
        <w:pStyle w:val="Heading1"/>
      </w:pPr>
      <w:bookmarkStart w:id="41" w:name="_Toc193659691"/>
      <w:r w:rsidRPr="007C740F">
        <w:lastRenderedPageBreak/>
        <w:t>Annex</w:t>
      </w:r>
      <w:r w:rsidR="00C064CB" w:rsidRPr="007C740F">
        <w:t>es</w:t>
      </w:r>
      <w:bookmarkEnd w:id="41"/>
    </w:p>
    <w:p w14:paraId="46CDDF91" w14:textId="1B817CE2" w:rsidR="00C064CB" w:rsidRPr="007C740F" w:rsidRDefault="00C064CB" w:rsidP="00035A36">
      <w:pPr>
        <w:pStyle w:val="Heading2"/>
        <w:numPr>
          <w:ilvl w:val="0"/>
          <w:numId w:val="30"/>
        </w:numPr>
      </w:pPr>
      <w:bookmarkStart w:id="42" w:name="_Toc193659692"/>
      <w:r w:rsidRPr="007C740F">
        <w:t>UNSCEAR</w:t>
      </w:r>
      <w:bookmarkEnd w:id="42"/>
    </w:p>
    <w:p w14:paraId="6306A034" w14:textId="77777777" w:rsidR="00C064CB" w:rsidRPr="007C740F" w:rsidRDefault="00914AD3" w:rsidP="00F555B6">
      <w:pPr>
        <w:pStyle w:val="BodyText1"/>
        <w:jc w:val="both"/>
      </w:pPr>
      <w:r w:rsidRPr="007C740F">
        <w:t>The United Nations Scientific Committee on the Effects of Atomic Radiation (</w:t>
      </w:r>
      <w:r w:rsidR="00C064CB" w:rsidRPr="007C740F">
        <w:t>UNSCEAR</w:t>
      </w:r>
      <w:r w:rsidRPr="007C740F">
        <w:t>)</w:t>
      </w:r>
      <w:r w:rsidR="00C064CB" w:rsidRPr="007C740F">
        <w:t xml:space="preserve"> was established by a United Nations</w:t>
      </w:r>
      <w:r w:rsidR="00E25B10" w:rsidRPr="007C740F">
        <w:t xml:space="preserve"> </w:t>
      </w:r>
      <w:r w:rsidR="00C064CB" w:rsidRPr="007C740F">
        <w:t>General Assembly resolution unanimously approved in 1955, to collect and evaluate information on the levels and effects of exposure to ionizing radiation. At the time, the global arms race was escalating, and there was a high level of concern about nuclear weapons testing and its impact with regard to exposure to radiation. UNSCEAR’s first two reports to the United Nations General Assembly, in 1958 and 1962, provided an overview of human radiation exposure at that time, and laid the scientific grounds on which the Partial Test Ban Treaty on the prohibition of nuclear weapon testing in the atmosphere was negotiated and signed in 1963.The Committee recognized in its first report of 1958 that medical diagnostic and therapeutic exposures were a major component of artificial radiation exposure globally, a fact that remains true today.</w:t>
      </w:r>
      <w:r w:rsidR="00E25B10" w:rsidRPr="007C740F">
        <w:t xml:space="preserve"> </w:t>
      </w:r>
      <w:r w:rsidR="00C064CB" w:rsidRPr="007C740F">
        <w:t>The Committee has continued to systematically review and evaluate global and regional levels and trends of medical exposure, as well as exposure of the public and workers. Over the decades, UNSCEAR has become the official international authority on the levels and effects of exposure to ionizing radiation</w:t>
      </w:r>
      <w:r w:rsidR="00E25B10" w:rsidRPr="007C740F">
        <w:t xml:space="preserve"> </w:t>
      </w:r>
      <w:r w:rsidR="00C064CB" w:rsidRPr="007C740F">
        <w:t>resulting from natural and</w:t>
      </w:r>
      <w:r w:rsidR="00E25B10" w:rsidRPr="007C740F">
        <w:t xml:space="preserve"> </w:t>
      </w:r>
      <w:r w:rsidR="00C064CB" w:rsidRPr="007C740F">
        <w:t>artificial sources.</w:t>
      </w:r>
      <w:r w:rsidR="00E25B10" w:rsidRPr="007C740F">
        <w:t xml:space="preserve"> </w:t>
      </w:r>
      <w:r w:rsidR="00C064CB" w:rsidRPr="007C740F">
        <w:t>It provides policy-relevant assessments, but is not involved in deciding policy.</w:t>
      </w:r>
      <w:r w:rsidR="00E25B10" w:rsidRPr="007C740F">
        <w:t xml:space="preserve"> </w:t>
      </w:r>
      <w:r w:rsidR="00C064CB" w:rsidRPr="007C740F">
        <w:t>For information only –not an official document</w:t>
      </w:r>
      <w:r w:rsidR="00E25B10" w:rsidRPr="007C740F">
        <w:t xml:space="preserve"> </w:t>
      </w:r>
      <w:r w:rsidR="00C064CB" w:rsidRPr="007C740F">
        <w:t>2</w:t>
      </w:r>
      <w:r w:rsidR="00E25B10" w:rsidRPr="007C740F">
        <w:t xml:space="preserve">. </w:t>
      </w:r>
      <w:r w:rsidR="00C064CB" w:rsidRPr="007C740F">
        <w:t>Other key activities included</w:t>
      </w:r>
      <w:r w:rsidR="00E25B10" w:rsidRPr="007C740F">
        <w:t xml:space="preserve"> </w:t>
      </w:r>
      <w:r w:rsidR="00C064CB" w:rsidRPr="007C740F">
        <w:t>evaluating the evidence for radiation-induced health effects from studies of the survivors of the atomic bombings in Japan in 1945 and other exposed groups. These reviews prompted significant worldwide reductions in unnecessary radiation exposure, and continue to influence the programmes of various international bodies working in the fields of human health, nuclear energy and radiation protection.</w:t>
      </w:r>
      <w:r w:rsidR="00E25B10" w:rsidRPr="007C740F">
        <w:t xml:space="preserve"> </w:t>
      </w:r>
      <w:r w:rsidR="00C064CB" w:rsidRPr="007C740F">
        <w:t>Other work included authoritative assessments of</w:t>
      </w:r>
      <w:r w:rsidR="00E25B10" w:rsidRPr="007C740F">
        <w:t xml:space="preserve"> </w:t>
      </w:r>
      <w:r w:rsidR="00C064CB" w:rsidRPr="007C740F">
        <w:t>the radiological consequences of the 1986 accident at Chernobyl and, a comprehensive overview of the levels and effects of exposure following the 2011 accident at Fukushima, including a follow-up white paper.</w:t>
      </w:r>
      <w:r w:rsidR="00E25B10" w:rsidRPr="007C740F">
        <w:t xml:space="preserve"> </w:t>
      </w:r>
      <w:r w:rsidR="00C064CB" w:rsidRPr="007C740F">
        <w:t>Scientists from 27 countries currently constitute</w:t>
      </w:r>
      <w:r w:rsidR="00E25B10" w:rsidRPr="007C740F">
        <w:t xml:space="preserve"> </w:t>
      </w:r>
      <w:r w:rsidR="00C064CB" w:rsidRPr="007C740F">
        <w:t>the Committee, which is a subsidiary body of the General Assembly. They work on behalf of the United Nations. Many more</w:t>
      </w:r>
      <w:r w:rsidR="00E25B10" w:rsidRPr="007C740F">
        <w:t xml:space="preserve"> </w:t>
      </w:r>
      <w:r w:rsidR="00C064CB" w:rsidRPr="007C740F">
        <w:t>countries and international organizations supply information for the Committee’s work. The UNSCEAR secretariat is based in Vienna, and is administered by UNEP.</w:t>
      </w:r>
    </w:p>
    <w:p w14:paraId="103CE5A0" w14:textId="77777777" w:rsidR="00340B71" w:rsidRPr="007C740F" w:rsidRDefault="00340B71" w:rsidP="00F555B6">
      <w:pPr>
        <w:pStyle w:val="BodyText1"/>
        <w:jc w:val="both"/>
      </w:pPr>
    </w:p>
    <w:p w14:paraId="0B41F2D6" w14:textId="77777777" w:rsidR="00322ECB" w:rsidRPr="007C740F" w:rsidRDefault="00322ECB" w:rsidP="00F555B6">
      <w:pPr>
        <w:jc w:val="both"/>
        <w:rPr>
          <w:rFonts w:asciiTheme="majorHAnsi" w:eastAsiaTheme="majorEastAsia" w:hAnsiTheme="majorHAnsi" w:cstheme="majorBidi"/>
          <w:spacing w:val="-10"/>
          <w:kern w:val="28"/>
          <w:sz w:val="40"/>
          <w:szCs w:val="40"/>
        </w:rPr>
      </w:pPr>
      <w:r w:rsidRPr="007C740F">
        <w:rPr>
          <w:sz w:val="40"/>
          <w:szCs w:val="40"/>
        </w:rPr>
        <w:br w:type="page"/>
      </w:r>
    </w:p>
    <w:p w14:paraId="7C0DA8B2" w14:textId="4F8A8A61" w:rsidR="00322ECB" w:rsidRPr="007C740F" w:rsidRDefault="00322ECB" w:rsidP="00035A36">
      <w:pPr>
        <w:pStyle w:val="Heading2"/>
        <w:numPr>
          <w:ilvl w:val="0"/>
          <w:numId w:val="30"/>
        </w:numPr>
      </w:pPr>
      <w:bookmarkStart w:id="43" w:name="_Toc193659693"/>
      <w:r w:rsidRPr="007C740F">
        <w:lastRenderedPageBreak/>
        <w:t>World Health Assembly 2010 resolution on Birth Defects.</w:t>
      </w:r>
      <w:bookmarkEnd w:id="43"/>
    </w:p>
    <w:p w14:paraId="330DB445" w14:textId="77777777" w:rsidR="00322ECB" w:rsidRPr="007C740F" w:rsidRDefault="00322ECB" w:rsidP="00322ECB">
      <w:pPr>
        <w:pStyle w:val="BodyText1"/>
        <w:rPr>
          <w:rFonts w:ascii="Arial" w:hAnsi="Arial" w:cs="Arial"/>
          <w:szCs w:val="24"/>
        </w:rPr>
      </w:pPr>
      <w:r w:rsidRPr="007C740F">
        <w:rPr>
          <w:rFonts w:ascii="Arial" w:hAnsi="Arial" w:cs="Arial"/>
          <w:szCs w:val="24"/>
        </w:rPr>
        <w:t>World Health Assembly. 26th Session, Agenda item 4.7, 21 January 2010. (Document EB126/10).</w:t>
      </w:r>
    </w:p>
    <w:p w14:paraId="2FC97B6E" w14:textId="77777777" w:rsidR="00322ECB" w:rsidRPr="007C740F" w:rsidRDefault="00322ECB" w:rsidP="00322ECB">
      <w:pPr>
        <w:pStyle w:val="BodyText1"/>
        <w:rPr>
          <w:rFonts w:ascii="Arial" w:hAnsi="Arial" w:cs="Arial"/>
          <w:sz w:val="32"/>
          <w:szCs w:val="32"/>
        </w:rPr>
      </w:pPr>
      <w:r w:rsidRPr="007C740F">
        <w:rPr>
          <w:rFonts w:ascii="Arial" w:hAnsi="Arial" w:cs="Arial"/>
          <w:sz w:val="32"/>
          <w:szCs w:val="32"/>
        </w:rPr>
        <w:t>Resolution EB126.R6. Birth defects</w:t>
      </w:r>
    </w:p>
    <w:p w14:paraId="5F9105EC" w14:textId="77777777" w:rsidR="00322ECB" w:rsidRPr="007C740F" w:rsidRDefault="00322ECB" w:rsidP="00322ECB">
      <w:pPr>
        <w:pStyle w:val="BodyText1"/>
        <w:spacing w:before="120" w:line="240" w:lineRule="auto"/>
      </w:pPr>
      <w:r w:rsidRPr="007C740F">
        <w:t>The Executive Board, Having considered the report on birth defects, RECOMMENDS to the Sixty-third World Health Assembly the adoption of the following resolution:</w:t>
      </w:r>
    </w:p>
    <w:p w14:paraId="599D1C34" w14:textId="77777777" w:rsidR="00322ECB" w:rsidRPr="007C740F" w:rsidRDefault="00322ECB" w:rsidP="00322ECB">
      <w:pPr>
        <w:pStyle w:val="BodyText1"/>
        <w:spacing w:line="240" w:lineRule="auto"/>
      </w:pPr>
      <w:r w:rsidRPr="007C740F">
        <w:t>The Sixty-third World Health Assembly,</w:t>
      </w:r>
    </w:p>
    <w:p w14:paraId="7B4FDF30" w14:textId="77777777" w:rsidR="00322ECB" w:rsidRPr="007C740F" w:rsidRDefault="00322ECB" w:rsidP="00322ECB">
      <w:pPr>
        <w:pStyle w:val="BodyText1"/>
        <w:spacing w:line="240" w:lineRule="auto"/>
        <w:ind w:left="720"/>
      </w:pPr>
      <w:r w:rsidRPr="007C740F">
        <w:t>Concerned by the high number of stillbirths and neonatal deaths occurring worldwide and by the large contribution of neonatal mortality to under-five mortality;</w:t>
      </w:r>
    </w:p>
    <w:p w14:paraId="42322EA5" w14:textId="77777777" w:rsidR="00322ECB" w:rsidRPr="007C740F" w:rsidRDefault="00322ECB" w:rsidP="00322ECB">
      <w:pPr>
        <w:pStyle w:val="BodyText1"/>
        <w:spacing w:line="240" w:lineRule="auto"/>
        <w:ind w:left="720"/>
      </w:pPr>
      <w:r w:rsidRPr="007C740F">
        <w:t>Recognizing the importance of birth defects as a cause of stillbirths and neonatal mortality;</w:t>
      </w:r>
    </w:p>
    <w:p w14:paraId="1A3453AC" w14:textId="77777777" w:rsidR="00322ECB" w:rsidRPr="007C740F" w:rsidRDefault="00322ECB" w:rsidP="00322ECB">
      <w:pPr>
        <w:pStyle w:val="BodyText1"/>
        <w:spacing w:line="240" w:lineRule="auto"/>
        <w:ind w:left="720"/>
      </w:pPr>
      <w:r w:rsidRPr="007C740F">
        <w:t>Mindful that effective interventions to prevent birth defects including provision of appropriate community genetic services within the primary health care are available that can be integrated into maternal, reproductive and child health services;</w:t>
      </w:r>
    </w:p>
    <w:p w14:paraId="647ABE41" w14:textId="77777777" w:rsidR="00322ECB" w:rsidRPr="007C740F" w:rsidRDefault="00322ECB" w:rsidP="00322ECB">
      <w:pPr>
        <w:pStyle w:val="BodyText1"/>
        <w:spacing w:line="240" w:lineRule="auto"/>
        <w:ind w:left="720"/>
      </w:pPr>
      <w:r w:rsidRPr="007C740F">
        <w:t>Concerned by the inadequate coverage of maternal, newborn and child health interventions and the barriers to access to health services that still exist in countries with the highest burden of maternal, newborn and child deaths;</w:t>
      </w:r>
    </w:p>
    <w:p w14:paraId="53E1BC79" w14:textId="77777777" w:rsidR="00322ECB" w:rsidRPr="007C740F" w:rsidRDefault="00322ECB" w:rsidP="00322ECB">
      <w:pPr>
        <w:pStyle w:val="BodyText1"/>
        <w:spacing w:line="240" w:lineRule="auto"/>
        <w:ind w:left="720"/>
      </w:pPr>
      <w:r w:rsidRPr="007C740F">
        <w:t>Aware that the attainment of Millennium Development Goal 4 on reduction of child mortality will require accelerated progress in reducing neonatal mortality including prevention and management of birth defects;</w:t>
      </w:r>
    </w:p>
    <w:p w14:paraId="16084746" w14:textId="77777777" w:rsidR="00322ECB" w:rsidRPr="007C740F" w:rsidRDefault="00322ECB" w:rsidP="00322ECB">
      <w:pPr>
        <w:pStyle w:val="BodyText1"/>
        <w:spacing w:line="240" w:lineRule="auto"/>
        <w:ind w:left="720"/>
      </w:pPr>
      <w:r w:rsidRPr="007C740F">
        <w:t>Recalling resolution WHA58.31, in which the Health Assembly, calling for universal coverage of maternal, newborn and child health interventions, urged Member States to commit resources and to accelerate national action to build a seamless continuum of care for reproductive, maternal, newborn and child health; as well as resolution WHA57.13 which recognized that genomics has a significant contribution to make in the area of public health;</w:t>
      </w:r>
    </w:p>
    <w:p w14:paraId="56A30FAF" w14:textId="77777777" w:rsidR="00322ECB" w:rsidRPr="007C740F" w:rsidRDefault="00322ECB" w:rsidP="00322ECB">
      <w:pPr>
        <w:pStyle w:val="BodyText1"/>
        <w:spacing w:line="240" w:lineRule="auto"/>
        <w:ind w:left="720"/>
      </w:pPr>
      <w:r w:rsidRPr="007C740F">
        <w:t>Recognizing that the prevalence of birth defects varies between communities, and that insufficient epidemiological data may hamper effective and equitable management;</w:t>
      </w:r>
    </w:p>
    <w:p w14:paraId="489DA2D0" w14:textId="77777777" w:rsidR="00322ECB" w:rsidRPr="007C740F" w:rsidRDefault="00322ECB" w:rsidP="00322ECB">
      <w:pPr>
        <w:pStyle w:val="BodyText1"/>
        <w:spacing w:line="240" w:lineRule="auto"/>
        <w:ind w:left="720"/>
      </w:pPr>
      <w:r w:rsidRPr="007C740F">
        <w:t>Recognizing the diversity of causes and determinants of congenital disorders, including preventable factors such as infectious or nutritional factors, vaccine-preventable diseases, consumption of alcohol, tobacco and drugs, and exposure to chemical substances, notably pesticides;</w:t>
      </w:r>
    </w:p>
    <w:p w14:paraId="627BD12A" w14:textId="77777777" w:rsidR="00322ECB" w:rsidRPr="007C740F" w:rsidRDefault="00322ECB" w:rsidP="00322ECB">
      <w:pPr>
        <w:pStyle w:val="BodyText1"/>
        <w:spacing w:line="240" w:lineRule="auto"/>
        <w:ind w:left="720"/>
      </w:pPr>
      <w:r w:rsidRPr="007C740F">
        <w:t>Deeply concerned that birth defects are not still recognized as priorities in public health;</w:t>
      </w:r>
    </w:p>
    <w:p w14:paraId="43141CA9" w14:textId="77777777" w:rsidR="00322ECB" w:rsidRPr="007C740F" w:rsidRDefault="00322ECB" w:rsidP="00322ECB">
      <w:pPr>
        <w:pStyle w:val="BodyText1"/>
        <w:spacing w:line="240" w:lineRule="auto"/>
        <w:ind w:left="720"/>
      </w:pPr>
      <w:r w:rsidRPr="007C740F">
        <w:t>Concerned by the limited resources dedicated to prevention and management of birth defects in particular in middle- and low-income countries;</w:t>
      </w:r>
    </w:p>
    <w:p w14:paraId="759C6884" w14:textId="77777777" w:rsidR="00322ECB" w:rsidRPr="007C740F" w:rsidRDefault="00322ECB" w:rsidP="00322ECB">
      <w:pPr>
        <w:rPr>
          <w:rFonts w:ascii="Times New Roman" w:hAnsi="Times New Roman"/>
          <w:sz w:val="24"/>
        </w:rPr>
      </w:pPr>
      <w:r w:rsidRPr="007C740F">
        <w:br w:type="page"/>
      </w:r>
    </w:p>
    <w:p w14:paraId="0C628A17" w14:textId="77777777" w:rsidR="00322ECB" w:rsidRPr="007C740F" w:rsidRDefault="00322ECB" w:rsidP="00322ECB">
      <w:pPr>
        <w:pStyle w:val="BodyText1"/>
        <w:spacing w:line="240" w:lineRule="auto"/>
      </w:pPr>
      <w:r w:rsidRPr="007C740F">
        <w:lastRenderedPageBreak/>
        <w:t>Welcoming the report on birth defects,</w:t>
      </w:r>
    </w:p>
    <w:p w14:paraId="3B584AD4" w14:textId="77777777" w:rsidR="00322ECB" w:rsidRPr="007C740F" w:rsidRDefault="00322ECB" w:rsidP="00322ECB">
      <w:pPr>
        <w:pStyle w:val="BodyText1"/>
        <w:spacing w:line="240" w:lineRule="auto"/>
      </w:pPr>
      <w:r w:rsidRPr="007C740F">
        <w:t>1. URGES Member States:</w:t>
      </w:r>
    </w:p>
    <w:p w14:paraId="453B82E1" w14:textId="77777777" w:rsidR="00322ECB" w:rsidRPr="007C740F" w:rsidRDefault="00322ECB" w:rsidP="00322ECB">
      <w:pPr>
        <w:pStyle w:val="BodyText1"/>
        <w:spacing w:line="240" w:lineRule="auto"/>
        <w:ind w:left="720"/>
      </w:pPr>
      <w:r w:rsidRPr="007C740F">
        <w:t>(1) to raise awareness among all relevant stakeholders, including government officials, health professionals, civil society and the public, about the importance of birth defects as a cause of child morbidity and mortality;</w:t>
      </w:r>
    </w:p>
    <w:p w14:paraId="1718BFBE" w14:textId="77777777" w:rsidR="00322ECB" w:rsidRPr="007C740F" w:rsidRDefault="00322ECB" w:rsidP="00322ECB">
      <w:pPr>
        <w:pStyle w:val="BodyText1"/>
        <w:spacing w:line="240" w:lineRule="auto"/>
        <w:ind w:left="720"/>
      </w:pPr>
      <w:r w:rsidRPr="007C740F">
        <w:t>(2) to set priorities, commit resources, and develop plans and activities for integrating effective interventions that include comprehensive guidance, information and awareness raising to prevent birth defects, and care for children with birth defects into existing maternal, reproductive and child health services and social welfare for all individuals who need them;</w:t>
      </w:r>
    </w:p>
    <w:p w14:paraId="2B8092DF" w14:textId="77777777" w:rsidR="00322ECB" w:rsidRPr="007C740F" w:rsidRDefault="00322ECB" w:rsidP="00322ECB">
      <w:pPr>
        <w:pStyle w:val="BodyText1"/>
        <w:spacing w:line="240" w:lineRule="auto"/>
        <w:ind w:left="720"/>
      </w:pPr>
      <w:r w:rsidRPr="007C740F">
        <w:t>(3) to promote the application of internationally recognized standards regulating the use of chemical substances in the air, water and soil;</w:t>
      </w:r>
    </w:p>
    <w:p w14:paraId="7E8F4D59" w14:textId="77292101" w:rsidR="00322ECB" w:rsidRPr="007C740F" w:rsidRDefault="00322ECB" w:rsidP="00322ECB">
      <w:pPr>
        <w:pStyle w:val="BodyText1"/>
        <w:spacing w:line="240" w:lineRule="auto"/>
        <w:ind w:left="720"/>
      </w:pPr>
      <w:r w:rsidRPr="007C740F">
        <w:t xml:space="preserve">(4) to increase coverage of effective prevention measures, through health education programmes that include ethical, legal and social issues associated with birth defects for the general population and high-risk groups, and by fostering the development of </w:t>
      </w:r>
      <w:r w:rsidR="008D14C8" w:rsidRPr="007C740F">
        <w:t>parent patient</w:t>
      </w:r>
      <w:r w:rsidRPr="007C740F">
        <w:t xml:space="preserve"> organizations and establishing appropriate community genetic services;</w:t>
      </w:r>
    </w:p>
    <w:p w14:paraId="5A975574" w14:textId="77777777" w:rsidR="00322ECB" w:rsidRPr="007C740F" w:rsidRDefault="00322ECB" w:rsidP="00322ECB">
      <w:pPr>
        <w:pStyle w:val="BodyText1"/>
        <w:spacing w:line="240" w:lineRule="auto"/>
        <w:ind w:left="720"/>
      </w:pPr>
      <w:r w:rsidRPr="007C740F">
        <w:t>(5) to record surveillance data on birth defects as part of national health information systems;</w:t>
      </w:r>
    </w:p>
    <w:p w14:paraId="7AB6225F" w14:textId="77777777" w:rsidR="00322ECB" w:rsidRPr="007C740F" w:rsidRDefault="00322ECB" w:rsidP="00322ECB">
      <w:pPr>
        <w:pStyle w:val="BodyText1"/>
        <w:spacing w:line="240" w:lineRule="auto"/>
        <w:ind w:left="720"/>
      </w:pPr>
      <w:r w:rsidRPr="007C740F">
        <w:t>(6) to develop expertise and to build capacity on the prevention of birth defects and care of children with birth defects;</w:t>
      </w:r>
    </w:p>
    <w:p w14:paraId="3851918B" w14:textId="77777777" w:rsidR="00322ECB" w:rsidRPr="007C740F" w:rsidRDefault="00322ECB" w:rsidP="00322ECB">
      <w:pPr>
        <w:pStyle w:val="BodyText1"/>
        <w:spacing w:line="240" w:lineRule="auto"/>
        <w:ind w:left="720"/>
      </w:pPr>
      <w:r w:rsidRPr="007C740F">
        <w:t xml:space="preserve">(7) to strengthen research and studies on </w:t>
      </w:r>
      <w:proofErr w:type="spellStart"/>
      <w:r w:rsidRPr="007C740F">
        <w:t>etiology</w:t>
      </w:r>
      <w:proofErr w:type="spellEnd"/>
      <w:r w:rsidRPr="007C740F">
        <w:t>, diagnosis and prevention of major birth defects and to promote international cooperation in combating with them;</w:t>
      </w:r>
    </w:p>
    <w:p w14:paraId="2C49653A" w14:textId="77777777" w:rsidR="00322ECB" w:rsidRPr="007C740F" w:rsidRDefault="00322ECB" w:rsidP="00322ECB">
      <w:pPr>
        <w:pStyle w:val="BodyText1"/>
        <w:spacing w:line="240" w:lineRule="auto"/>
        <w:ind w:left="720"/>
      </w:pPr>
      <w:r w:rsidRPr="007C740F">
        <w:t>(8) to take all necessary measures to ensure the full enjoyment by children with disabilities of all human rights and fundamental freedoms on an equal basis with other children and give priority to the child's well-being and support and facilitate families in their childcare and child-raising efforts;</w:t>
      </w:r>
    </w:p>
    <w:p w14:paraId="16BD32D9" w14:textId="77777777" w:rsidR="00322ECB" w:rsidRPr="007C740F" w:rsidRDefault="00322ECB" w:rsidP="00322ECB">
      <w:pPr>
        <w:pStyle w:val="BodyText1"/>
        <w:spacing w:line="240" w:lineRule="auto"/>
        <w:ind w:left="720"/>
      </w:pPr>
      <w:r w:rsidRPr="007C740F">
        <w:t>(9) to raise awareness among all relevant stakeholders, including government officials, health professionals, civil society and the public, about the importance of newborn screening programmes and their role in identifying infants born with birth defects;</w:t>
      </w:r>
    </w:p>
    <w:p w14:paraId="73545AF6" w14:textId="77777777" w:rsidR="00322ECB" w:rsidRPr="007C740F" w:rsidRDefault="00322ECB" w:rsidP="00322ECB">
      <w:pPr>
        <w:pStyle w:val="BodyText1"/>
        <w:spacing w:line="240" w:lineRule="auto"/>
        <w:ind w:left="720"/>
      </w:pPr>
      <w:r w:rsidRPr="007C740F">
        <w:t xml:space="preserve">(10) to support families who have children with birth defects and associated disabilities, and ensure that appropriate </w:t>
      </w:r>
      <w:proofErr w:type="spellStart"/>
      <w:r w:rsidRPr="007C740F">
        <w:t>habilitation</w:t>
      </w:r>
      <w:proofErr w:type="spellEnd"/>
      <w:r w:rsidRPr="007C740F">
        <w:t xml:space="preserve"> and support is provided to children with disabilities;</w:t>
      </w:r>
    </w:p>
    <w:p w14:paraId="06328F0D" w14:textId="77777777" w:rsidR="00322ECB" w:rsidRPr="007C740F" w:rsidRDefault="00322ECB" w:rsidP="00322ECB">
      <w:pPr>
        <w:pStyle w:val="BodyText1"/>
        <w:spacing w:line="240" w:lineRule="auto"/>
      </w:pPr>
      <w:r w:rsidRPr="007C740F">
        <w:t>2. REQUESTS the Director-General:</w:t>
      </w:r>
    </w:p>
    <w:p w14:paraId="5CA6869D" w14:textId="77777777" w:rsidR="00322ECB" w:rsidRPr="007C740F" w:rsidRDefault="00322ECB" w:rsidP="00322ECB">
      <w:pPr>
        <w:pStyle w:val="BodyText1"/>
        <w:spacing w:line="240" w:lineRule="auto"/>
        <w:ind w:left="720"/>
      </w:pPr>
      <w:r w:rsidRPr="007C740F">
        <w:t>(1) to promote the collection of data on the global burden of mortality and morbidity due to birth defects, and to consider broadening the groups of congenital abnormalities included in the classification when the International Statistical Classification of Diseases and Related Health Problems (Tenth Revision) is revised;</w:t>
      </w:r>
    </w:p>
    <w:p w14:paraId="7B872B45" w14:textId="77777777" w:rsidR="00322ECB" w:rsidRPr="007C740F" w:rsidRDefault="00322ECB" w:rsidP="00322ECB">
      <w:pPr>
        <w:pStyle w:val="BodyText1"/>
        <w:spacing w:line="240" w:lineRule="auto"/>
        <w:ind w:left="720"/>
      </w:pPr>
      <w:r w:rsidRPr="007C740F">
        <w:t>(2) to continue to collaborate with the international Clearinghouse for Birth Defects Surveillance and Research in order to improve collection of data on global burden of mortality and morbidity due to birth defects;</w:t>
      </w:r>
    </w:p>
    <w:p w14:paraId="0B93E809" w14:textId="77777777" w:rsidR="00322ECB" w:rsidRPr="007C740F" w:rsidRDefault="00322ECB" w:rsidP="00322ECB">
      <w:pPr>
        <w:pStyle w:val="BodyText1"/>
        <w:spacing w:line="240" w:lineRule="auto"/>
        <w:ind w:left="720"/>
      </w:pPr>
      <w:r w:rsidRPr="007C740F">
        <w:t xml:space="preserve">(3) to support Member States in developing national plans for implementation of effective interventions to prevent and manage birth defects within their national maternal, newborn and child health plan, strengthening health systems and primary </w:t>
      </w:r>
      <w:r w:rsidRPr="007C740F">
        <w:lastRenderedPageBreak/>
        <w:t>care, including improved vaccination coverage such as for measles and rubella, and food fortification strategies, for the prevention of birth defects, and promoting equitable access to such services;</w:t>
      </w:r>
    </w:p>
    <w:p w14:paraId="44395F63" w14:textId="77777777" w:rsidR="00322ECB" w:rsidRPr="007C740F" w:rsidRDefault="00322ECB" w:rsidP="00322ECB">
      <w:pPr>
        <w:pStyle w:val="BodyText1"/>
        <w:spacing w:line="240" w:lineRule="auto"/>
        <w:ind w:left="720"/>
      </w:pPr>
      <w:r w:rsidRPr="007C740F">
        <w:t>(4) to provide support to Member States in developing the ethical and legal guidelines in relation to birth defects;</w:t>
      </w:r>
    </w:p>
    <w:p w14:paraId="680D22B1" w14:textId="77777777" w:rsidR="00322ECB" w:rsidRPr="007C740F" w:rsidRDefault="00322ECB" w:rsidP="00322ECB">
      <w:pPr>
        <w:pStyle w:val="BodyText1"/>
        <w:spacing w:line="240" w:lineRule="auto"/>
        <w:ind w:left="720"/>
      </w:pPr>
      <w:r w:rsidRPr="007C740F">
        <w:t>(5) to support Member States in the provision of appropriate community genetic services within the primary health-care system;</w:t>
      </w:r>
    </w:p>
    <w:p w14:paraId="5AF8D650" w14:textId="77777777" w:rsidR="00322ECB" w:rsidRPr="007C740F" w:rsidRDefault="00322ECB" w:rsidP="00322ECB">
      <w:pPr>
        <w:pStyle w:val="BodyText1"/>
        <w:spacing w:line="240" w:lineRule="auto"/>
        <w:ind w:left="720"/>
      </w:pPr>
      <w:r w:rsidRPr="007C740F">
        <w:t>(6) to promote technical cooperation among Member States, nongovernmental organizations and other relevant bodies on prevention of birth defects;</w:t>
      </w:r>
    </w:p>
    <w:p w14:paraId="17429820" w14:textId="77777777" w:rsidR="00322ECB" w:rsidRPr="007C740F" w:rsidRDefault="00322ECB" w:rsidP="00322ECB">
      <w:pPr>
        <w:pStyle w:val="BodyText1"/>
        <w:spacing w:line="240" w:lineRule="auto"/>
        <w:ind w:left="720"/>
      </w:pPr>
      <w:r w:rsidRPr="007C740F">
        <w:t>(7) to support and facilitate research efforts on prevention and management of birth defects in order to improve the quality of life of those affected by such disorders;</w:t>
      </w:r>
    </w:p>
    <w:p w14:paraId="70D2CE07" w14:textId="77777777" w:rsidR="00322ECB" w:rsidRPr="007C740F" w:rsidRDefault="00322ECB" w:rsidP="00322ECB">
      <w:pPr>
        <w:pStyle w:val="BodyText1"/>
        <w:spacing w:line="240" w:lineRule="auto"/>
        <w:ind w:left="720"/>
      </w:pPr>
      <w:r w:rsidRPr="007C740F">
        <w:t>(8) to report on progress in implementing this resolution to the Sixty-seventh World Health Assembly, through the Executive Board, in 2014.</w:t>
      </w:r>
    </w:p>
    <w:p w14:paraId="6236CA8B" w14:textId="77777777" w:rsidR="00322ECB" w:rsidRPr="007C740F" w:rsidRDefault="00322ECB" w:rsidP="00322ECB">
      <w:pPr>
        <w:pStyle w:val="BodyText1"/>
        <w:spacing w:line="240" w:lineRule="auto"/>
      </w:pPr>
      <w:r w:rsidRPr="007C740F">
        <w:t>Seventh meeting, 21 January 2010. EB126/SR/7</w:t>
      </w:r>
    </w:p>
    <w:p w14:paraId="6B0514D4" w14:textId="77777777" w:rsidR="00E74BBC" w:rsidRPr="007C740F" w:rsidRDefault="00E74BBC" w:rsidP="00BF2E8C">
      <w:pPr>
        <w:pStyle w:val="BodyText1"/>
      </w:pPr>
    </w:p>
    <w:p w14:paraId="3CFCFD28" w14:textId="6A00EFCB" w:rsidR="00322ECB" w:rsidRPr="007C740F" w:rsidRDefault="00322ECB" w:rsidP="00035A36">
      <w:pPr>
        <w:pStyle w:val="Heading2"/>
        <w:numPr>
          <w:ilvl w:val="0"/>
          <w:numId w:val="30"/>
        </w:numPr>
      </w:pPr>
      <w:bookmarkStart w:id="44" w:name="_Toc193659694"/>
      <w:r w:rsidRPr="007C740F">
        <w:t>Report of the WHO Executive Board. 126th Session EB126.R6.</w:t>
      </w:r>
      <w:bookmarkEnd w:id="44"/>
    </w:p>
    <w:p w14:paraId="5088AFFC" w14:textId="77777777" w:rsidR="00322ECB" w:rsidRPr="007C740F" w:rsidRDefault="00322ECB" w:rsidP="00322ECB">
      <w:pPr>
        <w:pStyle w:val="BodyText1"/>
      </w:pPr>
      <w:r w:rsidRPr="007C740F">
        <w:t xml:space="preserve">Agenda item 4.7 21 January 2010. Birth defects. </w:t>
      </w:r>
    </w:p>
    <w:p w14:paraId="26D44930" w14:textId="7DE445E1" w:rsidR="00322ECB" w:rsidRPr="007C740F" w:rsidRDefault="00322ECB" w:rsidP="00322ECB">
      <w:pPr>
        <w:pStyle w:val="BodyText1"/>
      </w:pPr>
      <w:r w:rsidRPr="007C740F">
        <w:t>The Executive Board, Having considered the report on birth defects, REQUESTS the Director-General: (1) to promote the collection of data on the global burden of mortality and morbidity due to birth defects.</w:t>
      </w:r>
    </w:p>
    <w:p w14:paraId="31A6A5AA" w14:textId="77777777" w:rsidR="005B2585" w:rsidRPr="007C740F" w:rsidRDefault="005B2585" w:rsidP="00322ECB">
      <w:pPr>
        <w:pStyle w:val="BodyText1"/>
        <w:sectPr w:rsidR="005B2585" w:rsidRPr="007C740F" w:rsidSect="00254BA6">
          <w:pgSz w:w="11906" w:h="16838"/>
          <w:pgMar w:top="1440" w:right="1440" w:bottom="1440" w:left="1440" w:header="708" w:footer="708" w:gutter="0"/>
          <w:pgNumType w:start="1"/>
          <w:cols w:space="708"/>
          <w:docGrid w:linePitch="360"/>
        </w:sectPr>
      </w:pPr>
    </w:p>
    <w:p w14:paraId="38F8BBAE" w14:textId="2F4B6E8A" w:rsidR="005B2585" w:rsidRPr="007C740F" w:rsidRDefault="00DF2071" w:rsidP="005B2585">
      <w:pPr>
        <w:pStyle w:val="BodyText1"/>
      </w:pPr>
      <w:r w:rsidRPr="007C740F">
        <w:lastRenderedPageBreak/>
        <w:t xml:space="preserve">Table 1. </w:t>
      </w:r>
      <w:r w:rsidR="00711495" w:rsidRPr="007C740F">
        <w:t>MGDb g</w:t>
      </w:r>
      <w:r w:rsidRPr="007C740F">
        <w:t xml:space="preserve">lobal outcome rates per 1000 live births </w:t>
      </w:r>
      <w:r w:rsidR="00711495" w:rsidRPr="007C740F">
        <w:t>2020-2024 for</w:t>
      </w:r>
      <w:r w:rsidRPr="007C740F">
        <w:t xml:space="preserve"> three scenarios</w:t>
      </w:r>
      <w:r w:rsidR="00A1475E" w:rsidRPr="007C740F">
        <w:t>:</w:t>
      </w:r>
      <w:r w:rsidRPr="007C740F">
        <w:t xml:space="preserve"> no care (baseline), 100% access to care</w:t>
      </w:r>
      <w:r w:rsidR="00A1475E" w:rsidRPr="007C740F">
        <w:t xml:space="preserve">, </w:t>
      </w:r>
      <w:r w:rsidRPr="007C740F">
        <w:t>estimated actual care (effect)</w:t>
      </w:r>
      <w:r w:rsidR="00A1475E" w:rsidRPr="007C740F">
        <w:t xml:space="preserve"> including baseline </w:t>
      </w:r>
      <w:r w:rsidRPr="007C740F">
        <w:t xml:space="preserve">birth prevalence, fetal deaths, </w:t>
      </w:r>
      <w:r w:rsidR="00A1475E" w:rsidRPr="007C740F">
        <w:t>U5</w:t>
      </w:r>
      <w:r w:rsidRPr="007C740F">
        <w:t xml:space="preserve"> deaths, disability at age 5</w:t>
      </w:r>
      <w:r w:rsidR="00711495" w:rsidRPr="007C740F">
        <w:t xml:space="preserve"> in no care scenario plus pre-pregnancy reduction, TOP and effective cure for care scenarios, for early onset, endogenous congenital disorders included in the MGDb.</w:t>
      </w:r>
    </w:p>
    <w:tbl>
      <w:tblPr>
        <w:tblW w:w="13737" w:type="dxa"/>
        <w:jc w:val="center"/>
        <w:tblLook w:val="04A0" w:firstRow="1" w:lastRow="0" w:firstColumn="1" w:lastColumn="0" w:noHBand="0" w:noVBand="1"/>
      </w:tblPr>
      <w:tblGrid>
        <w:gridCol w:w="2100"/>
        <w:gridCol w:w="827"/>
        <w:gridCol w:w="700"/>
        <w:gridCol w:w="700"/>
        <w:gridCol w:w="702"/>
        <w:gridCol w:w="700"/>
        <w:gridCol w:w="700"/>
        <w:gridCol w:w="700"/>
        <w:gridCol w:w="852"/>
        <w:gridCol w:w="700"/>
        <w:gridCol w:w="702"/>
        <w:gridCol w:w="700"/>
        <w:gridCol w:w="700"/>
        <w:gridCol w:w="700"/>
        <w:gridCol w:w="852"/>
        <w:gridCol w:w="700"/>
        <w:gridCol w:w="702"/>
      </w:tblGrid>
      <w:tr w:rsidR="005B2585" w:rsidRPr="007C740F" w14:paraId="2515B5D8" w14:textId="77777777" w:rsidTr="00D80C87">
        <w:trPr>
          <w:trHeight w:val="720"/>
          <w:jc w:val="center"/>
        </w:trPr>
        <w:tc>
          <w:tcPr>
            <w:tcW w:w="2100" w:type="dxa"/>
            <w:vMerge w:val="restart"/>
            <w:tcBorders>
              <w:top w:val="single" w:sz="4" w:space="0" w:color="auto"/>
              <w:left w:val="single" w:sz="4" w:space="0" w:color="auto"/>
              <w:right w:val="single" w:sz="4" w:space="0" w:color="auto"/>
            </w:tcBorders>
            <w:shd w:val="clear" w:color="auto" w:fill="auto"/>
            <w:vAlign w:val="bottom"/>
            <w:hideMark/>
          </w:tcPr>
          <w:p w14:paraId="3944E43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World</w:t>
            </w:r>
          </w:p>
        </w:tc>
        <w:tc>
          <w:tcPr>
            <w:tcW w:w="827" w:type="dxa"/>
            <w:vMerge w:val="restart"/>
            <w:tcBorders>
              <w:top w:val="single" w:sz="4" w:space="0" w:color="auto"/>
              <w:left w:val="nil"/>
              <w:right w:val="single" w:sz="4" w:space="0" w:color="auto"/>
            </w:tcBorders>
            <w:shd w:val="clear" w:color="auto" w:fill="auto"/>
            <w:vAlign w:val="bottom"/>
            <w:hideMark/>
          </w:tcPr>
          <w:p w14:paraId="22F4024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Baseline B /1,000</w:t>
            </w:r>
          </w:p>
        </w:tc>
        <w:tc>
          <w:tcPr>
            <w:tcW w:w="2102" w:type="dxa"/>
            <w:gridSpan w:val="3"/>
            <w:tcBorders>
              <w:top w:val="single" w:sz="4" w:space="0" w:color="auto"/>
              <w:left w:val="nil"/>
              <w:bottom w:val="single" w:sz="4" w:space="0" w:color="auto"/>
              <w:right w:val="nil"/>
            </w:tcBorders>
            <w:shd w:val="clear" w:color="auto" w:fill="auto"/>
            <w:vAlign w:val="bottom"/>
          </w:tcPr>
          <w:p w14:paraId="0609022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If no care</w:t>
            </w:r>
          </w:p>
        </w:tc>
        <w:tc>
          <w:tcPr>
            <w:tcW w:w="4354" w:type="dxa"/>
            <w:gridSpan w:val="6"/>
            <w:tcBorders>
              <w:top w:val="single" w:sz="4" w:space="0" w:color="auto"/>
              <w:left w:val="single" w:sz="4" w:space="0" w:color="auto"/>
              <w:bottom w:val="single" w:sz="4" w:space="0" w:color="auto"/>
              <w:right w:val="nil"/>
            </w:tcBorders>
            <w:shd w:val="clear" w:color="auto" w:fill="auto"/>
            <w:vAlign w:val="bottom"/>
          </w:tcPr>
          <w:p w14:paraId="22A4D5F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If 100% access to services</w:t>
            </w:r>
          </w:p>
        </w:tc>
        <w:tc>
          <w:tcPr>
            <w:tcW w:w="435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8B0E38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Estimated actual effect 2020-24</w:t>
            </w:r>
          </w:p>
        </w:tc>
      </w:tr>
      <w:tr w:rsidR="005B2585" w:rsidRPr="007C740F" w14:paraId="79B6E5E9" w14:textId="77777777" w:rsidTr="00D80C87">
        <w:trPr>
          <w:trHeight w:val="720"/>
          <w:jc w:val="center"/>
        </w:trPr>
        <w:tc>
          <w:tcPr>
            <w:tcW w:w="2100" w:type="dxa"/>
            <w:vMerge/>
            <w:tcBorders>
              <w:left w:val="single" w:sz="4" w:space="0" w:color="auto"/>
              <w:bottom w:val="single" w:sz="4" w:space="0" w:color="auto"/>
              <w:right w:val="single" w:sz="4" w:space="0" w:color="auto"/>
            </w:tcBorders>
            <w:shd w:val="clear" w:color="auto" w:fill="auto"/>
            <w:vAlign w:val="bottom"/>
          </w:tcPr>
          <w:p w14:paraId="4CEDE65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827" w:type="dxa"/>
            <w:vMerge/>
            <w:tcBorders>
              <w:left w:val="nil"/>
              <w:bottom w:val="single" w:sz="4" w:space="0" w:color="auto"/>
              <w:right w:val="single" w:sz="4" w:space="0" w:color="auto"/>
            </w:tcBorders>
            <w:shd w:val="clear" w:color="auto" w:fill="auto"/>
            <w:vAlign w:val="bottom"/>
          </w:tcPr>
          <w:p w14:paraId="5DAADE1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single" w:sz="4" w:space="0" w:color="auto"/>
              <w:right w:val="nil"/>
            </w:tcBorders>
            <w:shd w:val="clear" w:color="auto" w:fill="auto"/>
            <w:vAlign w:val="bottom"/>
          </w:tcPr>
          <w:p w14:paraId="7F16F88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700" w:type="dxa"/>
            <w:tcBorders>
              <w:top w:val="single" w:sz="4" w:space="0" w:color="auto"/>
              <w:left w:val="nil"/>
              <w:bottom w:val="single" w:sz="4" w:space="0" w:color="auto"/>
              <w:right w:val="nil"/>
            </w:tcBorders>
            <w:shd w:val="clear" w:color="auto" w:fill="auto"/>
            <w:vAlign w:val="bottom"/>
          </w:tcPr>
          <w:p w14:paraId="2F4A8ED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nil"/>
            </w:tcBorders>
            <w:shd w:val="clear" w:color="auto" w:fill="auto"/>
            <w:vAlign w:val="bottom"/>
          </w:tcPr>
          <w:p w14:paraId="5A56C8E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c>
          <w:tcPr>
            <w:tcW w:w="700" w:type="dxa"/>
            <w:tcBorders>
              <w:top w:val="single" w:sz="4" w:space="0" w:color="auto"/>
              <w:left w:val="single" w:sz="4" w:space="0" w:color="auto"/>
              <w:bottom w:val="single" w:sz="4" w:space="0" w:color="auto"/>
              <w:right w:val="nil"/>
            </w:tcBorders>
            <w:shd w:val="clear" w:color="auto" w:fill="auto"/>
            <w:vAlign w:val="bottom"/>
          </w:tcPr>
          <w:p w14:paraId="4E6687A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Pre-</w:t>
            </w:r>
            <w:proofErr w:type="spellStart"/>
            <w:r w:rsidRPr="007C740F">
              <w:rPr>
                <w:rFonts w:ascii="Calibri" w:eastAsia="Times New Roman" w:hAnsi="Calibri" w:cs="Calibri"/>
                <w:color w:val="000000"/>
                <w:sz w:val="18"/>
                <w:szCs w:val="18"/>
                <w:lang w:eastAsia="en-GB"/>
              </w:rPr>
              <w:t>preg</w:t>
            </w:r>
            <w:proofErr w:type="spellEnd"/>
            <w:r w:rsidRPr="007C740F">
              <w:rPr>
                <w:rFonts w:ascii="Calibri" w:eastAsia="Times New Roman" w:hAnsi="Calibri" w:cs="Calibri"/>
                <w:color w:val="000000"/>
                <w:sz w:val="18"/>
                <w:szCs w:val="18"/>
                <w:lang w:eastAsia="en-GB"/>
              </w:rPr>
              <w:t xml:space="preserve"> </w:t>
            </w:r>
            <w:proofErr w:type="spellStart"/>
            <w:r w:rsidRPr="007C740F">
              <w:rPr>
                <w:rFonts w:ascii="Calibri" w:eastAsia="Times New Roman" w:hAnsi="Calibri" w:cs="Calibri"/>
                <w:color w:val="000000"/>
                <w:sz w:val="18"/>
                <w:szCs w:val="18"/>
                <w:lang w:eastAsia="en-GB"/>
              </w:rPr>
              <w:t>redn</w:t>
            </w:r>
            <w:proofErr w:type="spellEnd"/>
          </w:p>
        </w:tc>
        <w:tc>
          <w:tcPr>
            <w:tcW w:w="700" w:type="dxa"/>
            <w:tcBorders>
              <w:top w:val="single" w:sz="4" w:space="0" w:color="auto"/>
              <w:left w:val="nil"/>
              <w:bottom w:val="single" w:sz="4" w:space="0" w:color="auto"/>
              <w:right w:val="nil"/>
            </w:tcBorders>
            <w:shd w:val="clear" w:color="auto" w:fill="auto"/>
            <w:vAlign w:val="bottom"/>
          </w:tcPr>
          <w:p w14:paraId="4E7013C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TOP</w:t>
            </w:r>
          </w:p>
        </w:tc>
        <w:tc>
          <w:tcPr>
            <w:tcW w:w="700" w:type="dxa"/>
            <w:tcBorders>
              <w:top w:val="single" w:sz="4" w:space="0" w:color="auto"/>
              <w:left w:val="nil"/>
              <w:bottom w:val="single" w:sz="4" w:space="0" w:color="auto"/>
              <w:right w:val="nil"/>
            </w:tcBorders>
            <w:shd w:val="clear" w:color="auto" w:fill="auto"/>
            <w:vAlign w:val="bottom"/>
          </w:tcPr>
          <w:p w14:paraId="3CB36C8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852" w:type="dxa"/>
            <w:tcBorders>
              <w:top w:val="single" w:sz="4" w:space="0" w:color="auto"/>
              <w:left w:val="nil"/>
              <w:bottom w:val="single" w:sz="4" w:space="0" w:color="auto"/>
              <w:right w:val="nil"/>
            </w:tcBorders>
            <w:shd w:val="clear" w:color="auto" w:fill="auto"/>
            <w:vAlign w:val="bottom"/>
          </w:tcPr>
          <w:p w14:paraId="4A57F3A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Effective cure</w:t>
            </w:r>
          </w:p>
        </w:tc>
        <w:tc>
          <w:tcPr>
            <w:tcW w:w="700" w:type="dxa"/>
            <w:tcBorders>
              <w:top w:val="single" w:sz="4" w:space="0" w:color="auto"/>
              <w:left w:val="nil"/>
              <w:bottom w:val="single" w:sz="4" w:space="0" w:color="auto"/>
              <w:right w:val="nil"/>
            </w:tcBorders>
            <w:shd w:val="clear" w:color="auto" w:fill="auto"/>
            <w:vAlign w:val="bottom"/>
          </w:tcPr>
          <w:p w14:paraId="2B2A26E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nil"/>
            </w:tcBorders>
            <w:shd w:val="clear" w:color="auto" w:fill="auto"/>
            <w:vAlign w:val="bottom"/>
          </w:tcPr>
          <w:p w14:paraId="0B2252D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c>
          <w:tcPr>
            <w:tcW w:w="700" w:type="dxa"/>
            <w:tcBorders>
              <w:top w:val="single" w:sz="4" w:space="0" w:color="auto"/>
              <w:left w:val="single" w:sz="4" w:space="0" w:color="auto"/>
              <w:bottom w:val="single" w:sz="4" w:space="0" w:color="auto"/>
              <w:right w:val="nil"/>
            </w:tcBorders>
            <w:shd w:val="clear" w:color="auto" w:fill="auto"/>
            <w:vAlign w:val="bottom"/>
          </w:tcPr>
          <w:p w14:paraId="3ED0D86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Pre-</w:t>
            </w:r>
            <w:proofErr w:type="spellStart"/>
            <w:r w:rsidRPr="007C740F">
              <w:rPr>
                <w:rFonts w:ascii="Calibri" w:eastAsia="Times New Roman" w:hAnsi="Calibri" w:cs="Calibri"/>
                <w:color w:val="000000"/>
                <w:sz w:val="18"/>
                <w:szCs w:val="18"/>
                <w:lang w:eastAsia="en-GB"/>
              </w:rPr>
              <w:t>preg</w:t>
            </w:r>
            <w:proofErr w:type="spellEnd"/>
            <w:r w:rsidRPr="007C740F">
              <w:rPr>
                <w:rFonts w:ascii="Calibri" w:eastAsia="Times New Roman" w:hAnsi="Calibri" w:cs="Calibri"/>
                <w:color w:val="000000"/>
                <w:sz w:val="18"/>
                <w:szCs w:val="18"/>
                <w:lang w:eastAsia="en-GB"/>
              </w:rPr>
              <w:t xml:space="preserve"> </w:t>
            </w:r>
            <w:proofErr w:type="spellStart"/>
            <w:r w:rsidRPr="007C740F">
              <w:rPr>
                <w:rFonts w:ascii="Calibri" w:eastAsia="Times New Roman" w:hAnsi="Calibri" w:cs="Calibri"/>
                <w:color w:val="000000"/>
                <w:sz w:val="18"/>
                <w:szCs w:val="18"/>
                <w:lang w:eastAsia="en-GB"/>
              </w:rPr>
              <w:t>redn</w:t>
            </w:r>
            <w:proofErr w:type="spellEnd"/>
          </w:p>
        </w:tc>
        <w:tc>
          <w:tcPr>
            <w:tcW w:w="700" w:type="dxa"/>
            <w:tcBorders>
              <w:top w:val="single" w:sz="4" w:space="0" w:color="auto"/>
              <w:left w:val="nil"/>
              <w:bottom w:val="single" w:sz="4" w:space="0" w:color="auto"/>
              <w:right w:val="nil"/>
            </w:tcBorders>
            <w:shd w:val="clear" w:color="auto" w:fill="auto"/>
            <w:vAlign w:val="bottom"/>
          </w:tcPr>
          <w:p w14:paraId="6D0B8AA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TOP</w:t>
            </w:r>
          </w:p>
        </w:tc>
        <w:tc>
          <w:tcPr>
            <w:tcW w:w="700" w:type="dxa"/>
            <w:tcBorders>
              <w:top w:val="single" w:sz="4" w:space="0" w:color="auto"/>
              <w:left w:val="nil"/>
              <w:bottom w:val="single" w:sz="4" w:space="0" w:color="auto"/>
              <w:right w:val="nil"/>
            </w:tcBorders>
            <w:shd w:val="clear" w:color="auto" w:fill="auto"/>
            <w:vAlign w:val="bottom"/>
          </w:tcPr>
          <w:p w14:paraId="6ED3770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852" w:type="dxa"/>
            <w:tcBorders>
              <w:top w:val="single" w:sz="4" w:space="0" w:color="auto"/>
              <w:left w:val="nil"/>
              <w:bottom w:val="single" w:sz="4" w:space="0" w:color="auto"/>
              <w:right w:val="nil"/>
            </w:tcBorders>
            <w:shd w:val="clear" w:color="auto" w:fill="auto"/>
            <w:vAlign w:val="bottom"/>
          </w:tcPr>
          <w:p w14:paraId="4189DDF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Effective cure</w:t>
            </w:r>
          </w:p>
        </w:tc>
        <w:tc>
          <w:tcPr>
            <w:tcW w:w="700" w:type="dxa"/>
            <w:tcBorders>
              <w:top w:val="single" w:sz="4" w:space="0" w:color="auto"/>
              <w:left w:val="nil"/>
              <w:bottom w:val="single" w:sz="4" w:space="0" w:color="auto"/>
              <w:right w:val="nil"/>
            </w:tcBorders>
            <w:shd w:val="clear" w:color="auto" w:fill="auto"/>
            <w:vAlign w:val="bottom"/>
          </w:tcPr>
          <w:p w14:paraId="611472B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single" w:sz="4" w:space="0" w:color="auto"/>
            </w:tcBorders>
            <w:shd w:val="clear" w:color="auto" w:fill="auto"/>
            <w:vAlign w:val="bottom"/>
          </w:tcPr>
          <w:p w14:paraId="6882B71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r>
      <w:tr w:rsidR="005B2585" w:rsidRPr="007C740F" w14:paraId="6C90EF41"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vAlign w:val="bottom"/>
            <w:hideMark/>
          </w:tcPr>
          <w:p w14:paraId="789F25CF"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Down syndrome</w:t>
            </w:r>
          </w:p>
        </w:tc>
        <w:tc>
          <w:tcPr>
            <w:tcW w:w="827" w:type="dxa"/>
            <w:tcBorders>
              <w:top w:val="nil"/>
              <w:left w:val="nil"/>
              <w:bottom w:val="nil"/>
              <w:right w:val="single" w:sz="4" w:space="0" w:color="auto"/>
            </w:tcBorders>
            <w:shd w:val="clear" w:color="auto" w:fill="auto"/>
            <w:vAlign w:val="bottom"/>
            <w:hideMark/>
          </w:tcPr>
          <w:p w14:paraId="0C7A744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2.11</w:t>
            </w:r>
          </w:p>
        </w:tc>
        <w:tc>
          <w:tcPr>
            <w:tcW w:w="700" w:type="dxa"/>
            <w:tcBorders>
              <w:top w:val="nil"/>
              <w:left w:val="nil"/>
              <w:bottom w:val="nil"/>
              <w:right w:val="nil"/>
            </w:tcBorders>
            <w:shd w:val="clear" w:color="auto" w:fill="auto"/>
            <w:noWrap/>
            <w:vAlign w:val="bottom"/>
            <w:hideMark/>
          </w:tcPr>
          <w:p w14:paraId="50CCA2C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14.0</w:t>
            </w:r>
          </w:p>
        </w:tc>
        <w:tc>
          <w:tcPr>
            <w:tcW w:w="700" w:type="dxa"/>
            <w:tcBorders>
              <w:top w:val="nil"/>
              <w:left w:val="nil"/>
              <w:bottom w:val="nil"/>
              <w:right w:val="nil"/>
            </w:tcBorders>
            <w:shd w:val="clear" w:color="auto" w:fill="auto"/>
            <w:noWrap/>
            <w:vAlign w:val="bottom"/>
            <w:hideMark/>
          </w:tcPr>
          <w:p w14:paraId="558DD9A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53.7</w:t>
            </w:r>
          </w:p>
        </w:tc>
        <w:tc>
          <w:tcPr>
            <w:tcW w:w="702" w:type="dxa"/>
            <w:tcBorders>
              <w:top w:val="nil"/>
              <w:left w:val="nil"/>
              <w:bottom w:val="nil"/>
              <w:right w:val="nil"/>
            </w:tcBorders>
            <w:shd w:val="clear" w:color="auto" w:fill="auto"/>
            <w:noWrap/>
            <w:vAlign w:val="bottom"/>
            <w:hideMark/>
          </w:tcPr>
          <w:p w14:paraId="3DE4A7D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32.7</w:t>
            </w:r>
          </w:p>
        </w:tc>
        <w:tc>
          <w:tcPr>
            <w:tcW w:w="700" w:type="dxa"/>
            <w:tcBorders>
              <w:top w:val="nil"/>
              <w:left w:val="single" w:sz="4" w:space="0" w:color="auto"/>
              <w:bottom w:val="nil"/>
              <w:right w:val="nil"/>
            </w:tcBorders>
            <w:shd w:val="clear" w:color="auto" w:fill="auto"/>
            <w:noWrap/>
            <w:vAlign w:val="bottom"/>
            <w:hideMark/>
          </w:tcPr>
          <w:p w14:paraId="08072BA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1622BC5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56.4</w:t>
            </w:r>
          </w:p>
        </w:tc>
        <w:tc>
          <w:tcPr>
            <w:tcW w:w="700" w:type="dxa"/>
            <w:tcBorders>
              <w:top w:val="nil"/>
              <w:left w:val="nil"/>
              <w:bottom w:val="nil"/>
              <w:right w:val="nil"/>
            </w:tcBorders>
            <w:shd w:val="clear" w:color="auto" w:fill="auto"/>
            <w:noWrap/>
            <w:vAlign w:val="bottom"/>
            <w:hideMark/>
          </w:tcPr>
          <w:p w14:paraId="4DA086E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w:t>
            </w:r>
          </w:p>
        </w:tc>
        <w:tc>
          <w:tcPr>
            <w:tcW w:w="852" w:type="dxa"/>
            <w:tcBorders>
              <w:top w:val="nil"/>
              <w:left w:val="nil"/>
              <w:bottom w:val="nil"/>
              <w:right w:val="nil"/>
            </w:tcBorders>
            <w:shd w:val="clear" w:color="auto" w:fill="auto"/>
            <w:noWrap/>
            <w:vAlign w:val="bottom"/>
            <w:hideMark/>
          </w:tcPr>
          <w:p w14:paraId="2263832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5EABADC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w:t>
            </w:r>
          </w:p>
        </w:tc>
        <w:tc>
          <w:tcPr>
            <w:tcW w:w="702" w:type="dxa"/>
            <w:tcBorders>
              <w:top w:val="nil"/>
              <w:left w:val="nil"/>
              <w:bottom w:val="nil"/>
              <w:right w:val="single" w:sz="4" w:space="0" w:color="auto"/>
            </w:tcBorders>
            <w:shd w:val="clear" w:color="auto" w:fill="auto"/>
            <w:noWrap/>
            <w:vAlign w:val="bottom"/>
            <w:hideMark/>
          </w:tcPr>
          <w:p w14:paraId="7B36D57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33.9</w:t>
            </w:r>
          </w:p>
        </w:tc>
        <w:tc>
          <w:tcPr>
            <w:tcW w:w="700" w:type="dxa"/>
            <w:tcBorders>
              <w:top w:val="nil"/>
              <w:left w:val="nil"/>
              <w:bottom w:val="nil"/>
              <w:right w:val="nil"/>
            </w:tcBorders>
            <w:shd w:val="clear" w:color="auto" w:fill="auto"/>
            <w:noWrap/>
            <w:vAlign w:val="bottom"/>
            <w:hideMark/>
          </w:tcPr>
          <w:p w14:paraId="01A7B06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1926998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8.6</w:t>
            </w:r>
          </w:p>
        </w:tc>
        <w:tc>
          <w:tcPr>
            <w:tcW w:w="700" w:type="dxa"/>
            <w:tcBorders>
              <w:top w:val="nil"/>
              <w:left w:val="nil"/>
              <w:bottom w:val="nil"/>
              <w:right w:val="nil"/>
            </w:tcBorders>
            <w:shd w:val="clear" w:color="auto" w:fill="auto"/>
            <w:noWrap/>
            <w:vAlign w:val="bottom"/>
            <w:hideMark/>
          </w:tcPr>
          <w:p w14:paraId="78DBFE5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12.8</w:t>
            </w:r>
          </w:p>
        </w:tc>
        <w:tc>
          <w:tcPr>
            <w:tcW w:w="852" w:type="dxa"/>
            <w:tcBorders>
              <w:top w:val="nil"/>
              <w:left w:val="nil"/>
              <w:bottom w:val="nil"/>
              <w:right w:val="nil"/>
            </w:tcBorders>
            <w:shd w:val="clear" w:color="auto" w:fill="auto"/>
            <w:noWrap/>
            <w:vAlign w:val="bottom"/>
            <w:hideMark/>
          </w:tcPr>
          <w:p w14:paraId="2ABA684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4C4035D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29.0</w:t>
            </w:r>
          </w:p>
        </w:tc>
        <w:tc>
          <w:tcPr>
            <w:tcW w:w="702" w:type="dxa"/>
            <w:tcBorders>
              <w:top w:val="nil"/>
              <w:left w:val="nil"/>
              <w:bottom w:val="nil"/>
              <w:right w:val="single" w:sz="4" w:space="0" w:color="auto"/>
            </w:tcBorders>
            <w:shd w:val="clear" w:color="auto" w:fill="auto"/>
            <w:noWrap/>
            <w:vAlign w:val="bottom"/>
            <w:hideMark/>
          </w:tcPr>
          <w:p w14:paraId="565ECAE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48.0</w:t>
            </w:r>
          </w:p>
        </w:tc>
      </w:tr>
      <w:tr w:rsidR="005B2585" w:rsidRPr="007C740F" w14:paraId="0B2D59B9"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noWrap/>
            <w:vAlign w:val="bottom"/>
            <w:hideMark/>
          </w:tcPr>
          <w:p w14:paraId="0C0A91D6"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Other autosomal</w:t>
            </w:r>
          </w:p>
        </w:tc>
        <w:tc>
          <w:tcPr>
            <w:tcW w:w="827" w:type="dxa"/>
            <w:tcBorders>
              <w:top w:val="nil"/>
              <w:left w:val="nil"/>
              <w:bottom w:val="nil"/>
              <w:right w:val="single" w:sz="4" w:space="0" w:color="auto"/>
            </w:tcBorders>
            <w:shd w:val="clear" w:color="auto" w:fill="auto"/>
            <w:noWrap/>
            <w:vAlign w:val="bottom"/>
            <w:hideMark/>
          </w:tcPr>
          <w:p w14:paraId="0C897EF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1.29</w:t>
            </w:r>
          </w:p>
        </w:tc>
        <w:tc>
          <w:tcPr>
            <w:tcW w:w="700" w:type="dxa"/>
            <w:tcBorders>
              <w:top w:val="nil"/>
              <w:left w:val="nil"/>
              <w:bottom w:val="nil"/>
              <w:right w:val="nil"/>
            </w:tcBorders>
            <w:shd w:val="clear" w:color="auto" w:fill="auto"/>
            <w:noWrap/>
            <w:vAlign w:val="bottom"/>
            <w:hideMark/>
          </w:tcPr>
          <w:p w14:paraId="11D84A0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20.1</w:t>
            </w:r>
          </w:p>
        </w:tc>
        <w:tc>
          <w:tcPr>
            <w:tcW w:w="700" w:type="dxa"/>
            <w:tcBorders>
              <w:top w:val="nil"/>
              <w:left w:val="nil"/>
              <w:bottom w:val="nil"/>
              <w:right w:val="nil"/>
            </w:tcBorders>
            <w:shd w:val="clear" w:color="auto" w:fill="auto"/>
            <w:noWrap/>
            <w:vAlign w:val="bottom"/>
            <w:hideMark/>
          </w:tcPr>
          <w:p w14:paraId="319CE44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61.8</w:t>
            </w:r>
          </w:p>
        </w:tc>
        <w:tc>
          <w:tcPr>
            <w:tcW w:w="702" w:type="dxa"/>
            <w:tcBorders>
              <w:top w:val="nil"/>
              <w:left w:val="nil"/>
              <w:bottom w:val="nil"/>
              <w:right w:val="nil"/>
            </w:tcBorders>
            <w:shd w:val="clear" w:color="auto" w:fill="auto"/>
            <w:noWrap/>
            <w:vAlign w:val="bottom"/>
            <w:hideMark/>
          </w:tcPr>
          <w:p w14:paraId="6AED792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17.4</w:t>
            </w:r>
          </w:p>
        </w:tc>
        <w:tc>
          <w:tcPr>
            <w:tcW w:w="700" w:type="dxa"/>
            <w:tcBorders>
              <w:top w:val="nil"/>
              <w:left w:val="single" w:sz="4" w:space="0" w:color="auto"/>
              <w:bottom w:val="nil"/>
              <w:right w:val="nil"/>
            </w:tcBorders>
            <w:shd w:val="clear" w:color="auto" w:fill="auto"/>
            <w:noWrap/>
            <w:vAlign w:val="bottom"/>
            <w:hideMark/>
          </w:tcPr>
          <w:p w14:paraId="334E1B2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5674410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64.5</w:t>
            </w:r>
          </w:p>
        </w:tc>
        <w:tc>
          <w:tcPr>
            <w:tcW w:w="700" w:type="dxa"/>
            <w:tcBorders>
              <w:top w:val="nil"/>
              <w:left w:val="nil"/>
              <w:bottom w:val="nil"/>
              <w:right w:val="nil"/>
            </w:tcBorders>
            <w:shd w:val="clear" w:color="auto" w:fill="auto"/>
            <w:noWrap/>
            <w:vAlign w:val="bottom"/>
            <w:hideMark/>
          </w:tcPr>
          <w:p w14:paraId="44EF29D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6.5</w:t>
            </w:r>
          </w:p>
        </w:tc>
        <w:tc>
          <w:tcPr>
            <w:tcW w:w="852" w:type="dxa"/>
            <w:tcBorders>
              <w:top w:val="nil"/>
              <w:left w:val="nil"/>
              <w:bottom w:val="nil"/>
              <w:right w:val="nil"/>
            </w:tcBorders>
            <w:shd w:val="clear" w:color="auto" w:fill="auto"/>
            <w:noWrap/>
            <w:vAlign w:val="bottom"/>
            <w:hideMark/>
          </w:tcPr>
          <w:p w14:paraId="262512D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774FC37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10.2</w:t>
            </w:r>
          </w:p>
        </w:tc>
        <w:tc>
          <w:tcPr>
            <w:tcW w:w="702" w:type="dxa"/>
            <w:tcBorders>
              <w:top w:val="nil"/>
              <w:left w:val="nil"/>
              <w:bottom w:val="nil"/>
              <w:right w:val="single" w:sz="4" w:space="0" w:color="auto"/>
            </w:tcBorders>
            <w:shd w:val="clear" w:color="auto" w:fill="auto"/>
            <w:noWrap/>
            <w:vAlign w:val="bottom"/>
            <w:hideMark/>
          </w:tcPr>
          <w:p w14:paraId="4A0AFA3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18.2</w:t>
            </w:r>
          </w:p>
        </w:tc>
        <w:tc>
          <w:tcPr>
            <w:tcW w:w="700" w:type="dxa"/>
            <w:tcBorders>
              <w:top w:val="nil"/>
              <w:left w:val="nil"/>
              <w:bottom w:val="nil"/>
              <w:right w:val="nil"/>
            </w:tcBorders>
            <w:shd w:val="clear" w:color="auto" w:fill="auto"/>
            <w:noWrap/>
            <w:vAlign w:val="bottom"/>
            <w:hideMark/>
          </w:tcPr>
          <w:p w14:paraId="222DA9D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4CD91D6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13.7</w:t>
            </w:r>
          </w:p>
        </w:tc>
        <w:tc>
          <w:tcPr>
            <w:tcW w:w="700" w:type="dxa"/>
            <w:tcBorders>
              <w:top w:val="nil"/>
              <w:left w:val="nil"/>
              <w:bottom w:val="nil"/>
              <w:right w:val="nil"/>
            </w:tcBorders>
            <w:shd w:val="clear" w:color="auto" w:fill="auto"/>
            <w:noWrap/>
            <w:vAlign w:val="bottom"/>
            <w:hideMark/>
          </w:tcPr>
          <w:p w14:paraId="4049EE2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23.7</w:t>
            </w:r>
          </w:p>
        </w:tc>
        <w:tc>
          <w:tcPr>
            <w:tcW w:w="852" w:type="dxa"/>
            <w:tcBorders>
              <w:top w:val="nil"/>
              <w:left w:val="nil"/>
              <w:bottom w:val="nil"/>
              <w:right w:val="nil"/>
            </w:tcBorders>
            <w:shd w:val="clear" w:color="auto" w:fill="auto"/>
            <w:noWrap/>
            <w:vAlign w:val="bottom"/>
            <w:hideMark/>
          </w:tcPr>
          <w:p w14:paraId="6F414F8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37953C0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38.9</w:t>
            </w:r>
          </w:p>
        </w:tc>
        <w:tc>
          <w:tcPr>
            <w:tcW w:w="702" w:type="dxa"/>
            <w:tcBorders>
              <w:top w:val="nil"/>
              <w:left w:val="nil"/>
              <w:bottom w:val="nil"/>
              <w:right w:val="single" w:sz="4" w:space="0" w:color="auto"/>
            </w:tcBorders>
            <w:shd w:val="clear" w:color="auto" w:fill="auto"/>
            <w:noWrap/>
            <w:vAlign w:val="bottom"/>
            <w:hideMark/>
          </w:tcPr>
          <w:p w14:paraId="732C726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22.9</w:t>
            </w:r>
          </w:p>
        </w:tc>
      </w:tr>
      <w:tr w:rsidR="005B2585" w:rsidRPr="007C740F" w14:paraId="7DFE9943"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vAlign w:val="bottom"/>
            <w:hideMark/>
          </w:tcPr>
          <w:p w14:paraId="65D7B731"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Sex chromosomal</w:t>
            </w:r>
          </w:p>
        </w:tc>
        <w:tc>
          <w:tcPr>
            <w:tcW w:w="827" w:type="dxa"/>
            <w:tcBorders>
              <w:top w:val="nil"/>
              <w:left w:val="nil"/>
              <w:bottom w:val="nil"/>
              <w:right w:val="single" w:sz="4" w:space="0" w:color="auto"/>
            </w:tcBorders>
            <w:shd w:val="clear" w:color="auto" w:fill="auto"/>
            <w:vAlign w:val="bottom"/>
            <w:hideMark/>
          </w:tcPr>
          <w:p w14:paraId="1F9BBA5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1.12</w:t>
            </w:r>
          </w:p>
        </w:tc>
        <w:tc>
          <w:tcPr>
            <w:tcW w:w="700" w:type="dxa"/>
            <w:tcBorders>
              <w:top w:val="nil"/>
              <w:left w:val="nil"/>
              <w:bottom w:val="nil"/>
              <w:right w:val="nil"/>
            </w:tcBorders>
            <w:shd w:val="clear" w:color="auto" w:fill="auto"/>
            <w:noWrap/>
            <w:vAlign w:val="bottom"/>
            <w:hideMark/>
          </w:tcPr>
          <w:p w14:paraId="3448E99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6.5</w:t>
            </w:r>
          </w:p>
        </w:tc>
        <w:tc>
          <w:tcPr>
            <w:tcW w:w="700" w:type="dxa"/>
            <w:tcBorders>
              <w:top w:val="nil"/>
              <w:left w:val="nil"/>
              <w:bottom w:val="nil"/>
              <w:right w:val="nil"/>
            </w:tcBorders>
            <w:shd w:val="clear" w:color="auto" w:fill="auto"/>
            <w:noWrap/>
            <w:vAlign w:val="bottom"/>
            <w:hideMark/>
          </w:tcPr>
          <w:p w14:paraId="6C35DFA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w:t>
            </w:r>
          </w:p>
        </w:tc>
        <w:tc>
          <w:tcPr>
            <w:tcW w:w="702" w:type="dxa"/>
            <w:tcBorders>
              <w:top w:val="nil"/>
              <w:left w:val="nil"/>
              <w:bottom w:val="nil"/>
              <w:right w:val="nil"/>
            </w:tcBorders>
            <w:shd w:val="clear" w:color="auto" w:fill="auto"/>
            <w:noWrap/>
            <w:vAlign w:val="bottom"/>
            <w:hideMark/>
          </w:tcPr>
          <w:p w14:paraId="69D10FE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88.9</w:t>
            </w:r>
          </w:p>
        </w:tc>
        <w:tc>
          <w:tcPr>
            <w:tcW w:w="700" w:type="dxa"/>
            <w:tcBorders>
              <w:top w:val="nil"/>
              <w:left w:val="single" w:sz="4" w:space="0" w:color="auto"/>
              <w:bottom w:val="nil"/>
              <w:right w:val="nil"/>
            </w:tcBorders>
            <w:shd w:val="clear" w:color="auto" w:fill="auto"/>
            <w:noWrap/>
            <w:vAlign w:val="bottom"/>
            <w:hideMark/>
          </w:tcPr>
          <w:p w14:paraId="145C313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2FD7EC9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14.5</w:t>
            </w:r>
          </w:p>
        </w:tc>
        <w:tc>
          <w:tcPr>
            <w:tcW w:w="700" w:type="dxa"/>
            <w:tcBorders>
              <w:top w:val="nil"/>
              <w:left w:val="nil"/>
              <w:bottom w:val="nil"/>
              <w:right w:val="nil"/>
            </w:tcBorders>
            <w:shd w:val="clear" w:color="auto" w:fill="auto"/>
            <w:noWrap/>
            <w:vAlign w:val="bottom"/>
            <w:hideMark/>
          </w:tcPr>
          <w:p w14:paraId="099BEA6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w:t>
            </w:r>
          </w:p>
        </w:tc>
        <w:tc>
          <w:tcPr>
            <w:tcW w:w="852" w:type="dxa"/>
            <w:tcBorders>
              <w:top w:val="nil"/>
              <w:left w:val="nil"/>
              <w:bottom w:val="nil"/>
              <w:right w:val="nil"/>
            </w:tcBorders>
            <w:shd w:val="clear" w:color="auto" w:fill="auto"/>
            <w:noWrap/>
            <w:vAlign w:val="bottom"/>
            <w:hideMark/>
          </w:tcPr>
          <w:p w14:paraId="3D7CDFF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7AA9D3E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702" w:type="dxa"/>
            <w:tcBorders>
              <w:top w:val="nil"/>
              <w:left w:val="nil"/>
              <w:bottom w:val="nil"/>
              <w:right w:val="single" w:sz="4" w:space="0" w:color="auto"/>
            </w:tcBorders>
            <w:shd w:val="clear" w:color="auto" w:fill="auto"/>
            <w:noWrap/>
            <w:vAlign w:val="bottom"/>
            <w:hideMark/>
          </w:tcPr>
          <w:p w14:paraId="60346EA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78.3</w:t>
            </w:r>
          </w:p>
        </w:tc>
        <w:tc>
          <w:tcPr>
            <w:tcW w:w="700" w:type="dxa"/>
            <w:tcBorders>
              <w:top w:val="nil"/>
              <w:left w:val="nil"/>
              <w:bottom w:val="nil"/>
              <w:right w:val="nil"/>
            </w:tcBorders>
            <w:shd w:val="clear" w:color="auto" w:fill="auto"/>
            <w:noWrap/>
            <w:vAlign w:val="bottom"/>
            <w:hideMark/>
          </w:tcPr>
          <w:p w14:paraId="5686268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738100C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w:t>
            </w:r>
          </w:p>
        </w:tc>
        <w:tc>
          <w:tcPr>
            <w:tcW w:w="700" w:type="dxa"/>
            <w:tcBorders>
              <w:top w:val="nil"/>
              <w:left w:val="nil"/>
              <w:bottom w:val="nil"/>
              <w:right w:val="nil"/>
            </w:tcBorders>
            <w:shd w:val="clear" w:color="auto" w:fill="auto"/>
            <w:noWrap/>
            <w:vAlign w:val="bottom"/>
            <w:hideMark/>
          </w:tcPr>
          <w:p w14:paraId="3707B62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5.9</w:t>
            </w:r>
          </w:p>
        </w:tc>
        <w:tc>
          <w:tcPr>
            <w:tcW w:w="852" w:type="dxa"/>
            <w:tcBorders>
              <w:top w:val="nil"/>
              <w:left w:val="nil"/>
              <w:bottom w:val="nil"/>
              <w:right w:val="nil"/>
            </w:tcBorders>
            <w:shd w:val="clear" w:color="auto" w:fill="auto"/>
            <w:noWrap/>
            <w:vAlign w:val="bottom"/>
            <w:hideMark/>
          </w:tcPr>
          <w:p w14:paraId="3DE494C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052C1AC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0.9</w:t>
            </w:r>
          </w:p>
        </w:tc>
        <w:tc>
          <w:tcPr>
            <w:tcW w:w="702" w:type="dxa"/>
            <w:tcBorders>
              <w:top w:val="nil"/>
              <w:left w:val="nil"/>
              <w:bottom w:val="nil"/>
              <w:right w:val="single" w:sz="4" w:space="0" w:color="auto"/>
            </w:tcBorders>
            <w:shd w:val="clear" w:color="auto" w:fill="auto"/>
            <w:noWrap/>
            <w:vAlign w:val="bottom"/>
            <w:hideMark/>
          </w:tcPr>
          <w:p w14:paraId="080C8D5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86.8</w:t>
            </w:r>
          </w:p>
        </w:tc>
      </w:tr>
      <w:tr w:rsidR="005B2585" w:rsidRPr="007C740F" w14:paraId="676842B0"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noWrap/>
            <w:vAlign w:val="bottom"/>
            <w:hideMark/>
          </w:tcPr>
          <w:p w14:paraId="7F23254F"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Severe congen malfns</w:t>
            </w:r>
          </w:p>
        </w:tc>
        <w:tc>
          <w:tcPr>
            <w:tcW w:w="827" w:type="dxa"/>
            <w:tcBorders>
              <w:top w:val="nil"/>
              <w:left w:val="nil"/>
              <w:bottom w:val="nil"/>
              <w:right w:val="single" w:sz="4" w:space="0" w:color="auto"/>
            </w:tcBorders>
            <w:shd w:val="clear" w:color="auto" w:fill="auto"/>
            <w:noWrap/>
            <w:vAlign w:val="bottom"/>
            <w:hideMark/>
          </w:tcPr>
          <w:p w14:paraId="025B4F2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15.36</w:t>
            </w:r>
          </w:p>
        </w:tc>
        <w:tc>
          <w:tcPr>
            <w:tcW w:w="700" w:type="dxa"/>
            <w:tcBorders>
              <w:top w:val="nil"/>
              <w:left w:val="nil"/>
              <w:bottom w:val="nil"/>
              <w:right w:val="nil"/>
            </w:tcBorders>
            <w:shd w:val="clear" w:color="auto" w:fill="auto"/>
            <w:noWrap/>
            <w:vAlign w:val="bottom"/>
            <w:hideMark/>
          </w:tcPr>
          <w:p w14:paraId="03F90E0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5.3</w:t>
            </w:r>
          </w:p>
        </w:tc>
        <w:tc>
          <w:tcPr>
            <w:tcW w:w="700" w:type="dxa"/>
            <w:tcBorders>
              <w:top w:val="nil"/>
              <w:left w:val="nil"/>
              <w:bottom w:val="nil"/>
              <w:right w:val="nil"/>
            </w:tcBorders>
            <w:shd w:val="clear" w:color="auto" w:fill="auto"/>
            <w:noWrap/>
            <w:vAlign w:val="bottom"/>
            <w:hideMark/>
          </w:tcPr>
          <w:p w14:paraId="049CABA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79.6</w:t>
            </w:r>
          </w:p>
        </w:tc>
        <w:tc>
          <w:tcPr>
            <w:tcW w:w="702" w:type="dxa"/>
            <w:tcBorders>
              <w:top w:val="nil"/>
              <w:left w:val="nil"/>
              <w:bottom w:val="nil"/>
              <w:right w:val="nil"/>
            </w:tcBorders>
            <w:shd w:val="clear" w:color="auto" w:fill="auto"/>
            <w:noWrap/>
            <w:vAlign w:val="bottom"/>
            <w:hideMark/>
          </w:tcPr>
          <w:p w14:paraId="097195C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14.5</w:t>
            </w:r>
          </w:p>
        </w:tc>
        <w:tc>
          <w:tcPr>
            <w:tcW w:w="700" w:type="dxa"/>
            <w:tcBorders>
              <w:top w:val="nil"/>
              <w:left w:val="single" w:sz="4" w:space="0" w:color="auto"/>
              <w:bottom w:val="nil"/>
              <w:right w:val="nil"/>
            </w:tcBorders>
            <w:shd w:val="clear" w:color="auto" w:fill="auto"/>
            <w:noWrap/>
            <w:vAlign w:val="bottom"/>
            <w:hideMark/>
          </w:tcPr>
          <w:p w14:paraId="658BAA6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13.6</w:t>
            </w:r>
          </w:p>
        </w:tc>
        <w:tc>
          <w:tcPr>
            <w:tcW w:w="700" w:type="dxa"/>
            <w:tcBorders>
              <w:top w:val="nil"/>
              <w:left w:val="nil"/>
              <w:bottom w:val="nil"/>
              <w:right w:val="nil"/>
            </w:tcBorders>
            <w:shd w:val="clear" w:color="auto" w:fill="auto"/>
            <w:noWrap/>
            <w:vAlign w:val="bottom"/>
            <w:hideMark/>
          </w:tcPr>
          <w:p w14:paraId="3A14B2F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11.1</w:t>
            </w:r>
          </w:p>
        </w:tc>
        <w:tc>
          <w:tcPr>
            <w:tcW w:w="700" w:type="dxa"/>
            <w:tcBorders>
              <w:top w:val="nil"/>
              <w:left w:val="nil"/>
              <w:bottom w:val="nil"/>
              <w:right w:val="nil"/>
            </w:tcBorders>
            <w:shd w:val="clear" w:color="auto" w:fill="auto"/>
            <w:noWrap/>
            <w:vAlign w:val="bottom"/>
            <w:hideMark/>
          </w:tcPr>
          <w:p w14:paraId="472330F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w:t>
            </w:r>
          </w:p>
        </w:tc>
        <w:tc>
          <w:tcPr>
            <w:tcW w:w="852" w:type="dxa"/>
            <w:tcBorders>
              <w:top w:val="nil"/>
              <w:left w:val="nil"/>
              <w:bottom w:val="nil"/>
              <w:right w:val="nil"/>
            </w:tcBorders>
            <w:shd w:val="clear" w:color="auto" w:fill="auto"/>
            <w:noWrap/>
            <w:vAlign w:val="bottom"/>
            <w:hideMark/>
          </w:tcPr>
          <w:p w14:paraId="2C1AF94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52.4</w:t>
            </w:r>
          </w:p>
        </w:tc>
        <w:tc>
          <w:tcPr>
            <w:tcW w:w="700" w:type="dxa"/>
            <w:tcBorders>
              <w:top w:val="nil"/>
              <w:left w:val="nil"/>
              <w:bottom w:val="nil"/>
              <w:right w:val="nil"/>
            </w:tcBorders>
            <w:shd w:val="clear" w:color="auto" w:fill="auto"/>
            <w:noWrap/>
            <w:vAlign w:val="bottom"/>
            <w:hideMark/>
          </w:tcPr>
          <w:p w14:paraId="21DB034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w:t>
            </w:r>
          </w:p>
        </w:tc>
        <w:tc>
          <w:tcPr>
            <w:tcW w:w="702" w:type="dxa"/>
            <w:tcBorders>
              <w:top w:val="nil"/>
              <w:left w:val="nil"/>
              <w:bottom w:val="nil"/>
              <w:right w:val="single" w:sz="4" w:space="0" w:color="auto"/>
            </w:tcBorders>
            <w:shd w:val="clear" w:color="auto" w:fill="auto"/>
            <w:noWrap/>
            <w:vAlign w:val="bottom"/>
            <w:hideMark/>
          </w:tcPr>
          <w:p w14:paraId="6A1A4BE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18.1</w:t>
            </w:r>
          </w:p>
        </w:tc>
        <w:tc>
          <w:tcPr>
            <w:tcW w:w="700" w:type="dxa"/>
            <w:tcBorders>
              <w:top w:val="nil"/>
              <w:left w:val="nil"/>
              <w:bottom w:val="nil"/>
              <w:right w:val="nil"/>
            </w:tcBorders>
            <w:shd w:val="clear" w:color="auto" w:fill="auto"/>
            <w:noWrap/>
            <w:vAlign w:val="bottom"/>
            <w:hideMark/>
          </w:tcPr>
          <w:p w14:paraId="0DDEE03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3.1</w:t>
            </w:r>
          </w:p>
        </w:tc>
        <w:tc>
          <w:tcPr>
            <w:tcW w:w="700" w:type="dxa"/>
            <w:tcBorders>
              <w:top w:val="nil"/>
              <w:left w:val="nil"/>
              <w:bottom w:val="nil"/>
              <w:right w:val="nil"/>
            </w:tcBorders>
            <w:shd w:val="clear" w:color="auto" w:fill="auto"/>
            <w:noWrap/>
            <w:vAlign w:val="bottom"/>
            <w:hideMark/>
          </w:tcPr>
          <w:p w14:paraId="3A4B9AA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w:t>
            </w:r>
          </w:p>
        </w:tc>
        <w:tc>
          <w:tcPr>
            <w:tcW w:w="700" w:type="dxa"/>
            <w:tcBorders>
              <w:top w:val="nil"/>
              <w:left w:val="nil"/>
              <w:bottom w:val="nil"/>
              <w:right w:val="nil"/>
            </w:tcBorders>
            <w:shd w:val="clear" w:color="auto" w:fill="auto"/>
            <w:noWrap/>
            <w:vAlign w:val="bottom"/>
            <w:hideMark/>
          </w:tcPr>
          <w:p w14:paraId="017802B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w:t>
            </w:r>
          </w:p>
        </w:tc>
        <w:tc>
          <w:tcPr>
            <w:tcW w:w="852" w:type="dxa"/>
            <w:tcBorders>
              <w:top w:val="nil"/>
              <w:left w:val="nil"/>
              <w:bottom w:val="nil"/>
              <w:right w:val="nil"/>
            </w:tcBorders>
            <w:shd w:val="clear" w:color="auto" w:fill="auto"/>
            <w:noWrap/>
            <w:vAlign w:val="bottom"/>
            <w:hideMark/>
          </w:tcPr>
          <w:p w14:paraId="740D9D8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27.9</w:t>
            </w:r>
          </w:p>
        </w:tc>
        <w:tc>
          <w:tcPr>
            <w:tcW w:w="700" w:type="dxa"/>
            <w:tcBorders>
              <w:top w:val="nil"/>
              <w:left w:val="nil"/>
              <w:bottom w:val="nil"/>
              <w:right w:val="nil"/>
            </w:tcBorders>
            <w:shd w:val="clear" w:color="auto" w:fill="auto"/>
            <w:noWrap/>
            <w:vAlign w:val="bottom"/>
            <w:hideMark/>
          </w:tcPr>
          <w:p w14:paraId="4960CC2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37.4</w:t>
            </w:r>
          </w:p>
        </w:tc>
        <w:tc>
          <w:tcPr>
            <w:tcW w:w="702" w:type="dxa"/>
            <w:tcBorders>
              <w:top w:val="nil"/>
              <w:left w:val="nil"/>
              <w:bottom w:val="nil"/>
              <w:right w:val="single" w:sz="4" w:space="0" w:color="auto"/>
            </w:tcBorders>
            <w:shd w:val="clear" w:color="auto" w:fill="auto"/>
            <w:noWrap/>
            <w:vAlign w:val="bottom"/>
            <w:hideMark/>
          </w:tcPr>
          <w:p w14:paraId="2184316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23.4</w:t>
            </w:r>
          </w:p>
        </w:tc>
      </w:tr>
      <w:tr w:rsidR="005B2585" w:rsidRPr="007C740F" w14:paraId="1899EB6C"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vAlign w:val="bottom"/>
            <w:hideMark/>
          </w:tcPr>
          <w:p w14:paraId="25D346F6"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Less severe malfns</w:t>
            </w:r>
          </w:p>
        </w:tc>
        <w:tc>
          <w:tcPr>
            <w:tcW w:w="827" w:type="dxa"/>
            <w:tcBorders>
              <w:top w:val="nil"/>
              <w:left w:val="nil"/>
              <w:bottom w:val="nil"/>
              <w:right w:val="single" w:sz="4" w:space="0" w:color="auto"/>
            </w:tcBorders>
            <w:shd w:val="clear" w:color="auto" w:fill="auto"/>
            <w:vAlign w:val="bottom"/>
            <w:hideMark/>
          </w:tcPr>
          <w:p w14:paraId="355609D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5.19</w:t>
            </w:r>
          </w:p>
        </w:tc>
        <w:tc>
          <w:tcPr>
            <w:tcW w:w="700" w:type="dxa"/>
            <w:tcBorders>
              <w:top w:val="nil"/>
              <w:left w:val="nil"/>
              <w:bottom w:val="nil"/>
              <w:right w:val="nil"/>
            </w:tcBorders>
            <w:shd w:val="clear" w:color="auto" w:fill="auto"/>
            <w:noWrap/>
            <w:vAlign w:val="bottom"/>
            <w:hideMark/>
          </w:tcPr>
          <w:p w14:paraId="40C5032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700" w:type="dxa"/>
            <w:tcBorders>
              <w:top w:val="nil"/>
              <w:left w:val="nil"/>
              <w:bottom w:val="nil"/>
              <w:right w:val="nil"/>
            </w:tcBorders>
            <w:shd w:val="clear" w:color="auto" w:fill="auto"/>
            <w:noWrap/>
            <w:vAlign w:val="bottom"/>
            <w:hideMark/>
          </w:tcPr>
          <w:p w14:paraId="6115EA6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w:t>
            </w:r>
          </w:p>
        </w:tc>
        <w:tc>
          <w:tcPr>
            <w:tcW w:w="702" w:type="dxa"/>
            <w:tcBorders>
              <w:top w:val="nil"/>
              <w:left w:val="nil"/>
              <w:bottom w:val="nil"/>
              <w:right w:val="nil"/>
            </w:tcBorders>
            <w:shd w:val="clear" w:color="auto" w:fill="auto"/>
            <w:noWrap/>
            <w:vAlign w:val="bottom"/>
            <w:hideMark/>
          </w:tcPr>
          <w:p w14:paraId="20CE03A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91.0</w:t>
            </w:r>
          </w:p>
        </w:tc>
        <w:tc>
          <w:tcPr>
            <w:tcW w:w="700" w:type="dxa"/>
            <w:tcBorders>
              <w:top w:val="nil"/>
              <w:left w:val="single" w:sz="4" w:space="0" w:color="auto"/>
              <w:bottom w:val="nil"/>
              <w:right w:val="nil"/>
            </w:tcBorders>
            <w:shd w:val="clear" w:color="auto" w:fill="auto"/>
            <w:noWrap/>
            <w:vAlign w:val="bottom"/>
            <w:hideMark/>
          </w:tcPr>
          <w:p w14:paraId="1A6DF04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06A7EE3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w:t>
            </w:r>
          </w:p>
        </w:tc>
        <w:tc>
          <w:tcPr>
            <w:tcW w:w="700" w:type="dxa"/>
            <w:tcBorders>
              <w:top w:val="nil"/>
              <w:left w:val="nil"/>
              <w:bottom w:val="nil"/>
              <w:right w:val="nil"/>
            </w:tcBorders>
            <w:shd w:val="clear" w:color="auto" w:fill="auto"/>
            <w:noWrap/>
            <w:vAlign w:val="bottom"/>
            <w:hideMark/>
          </w:tcPr>
          <w:p w14:paraId="736AC20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0.6</w:t>
            </w:r>
          </w:p>
        </w:tc>
        <w:tc>
          <w:tcPr>
            <w:tcW w:w="852" w:type="dxa"/>
            <w:tcBorders>
              <w:top w:val="nil"/>
              <w:left w:val="nil"/>
              <w:bottom w:val="nil"/>
              <w:right w:val="nil"/>
            </w:tcBorders>
            <w:shd w:val="clear" w:color="auto" w:fill="auto"/>
            <w:noWrap/>
            <w:vAlign w:val="bottom"/>
            <w:hideMark/>
          </w:tcPr>
          <w:p w14:paraId="61A308D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89.2</w:t>
            </w:r>
          </w:p>
        </w:tc>
        <w:tc>
          <w:tcPr>
            <w:tcW w:w="700" w:type="dxa"/>
            <w:tcBorders>
              <w:top w:val="nil"/>
              <w:left w:val="nil"/>
              <w:bottom w:val="nil"/>
              <w:right w:val="nil"/>
            </w:tcBorders>
            <w:shd w:val="clear" w:color="auto" w:fill="auto"/>
            <w:noWrap/>
            <w:vAlign w:val="bottom"/>
            <w:hideMark/>
          </w:tcPr>
          <w:p w14:paraId="46963EA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0.1</w:t>
            </w:r>
          </w:p>
        </w:tc>
        <w:tc>
          <w:tcPr>
            <w:tcW w:w="702" w:type="dxa"/>
            <w:tcBorders>
              <w:top w:val="nil"/>
              <w:left w:val="nil"/>
              <w:bottom w:val="nil"/>
              <w:right w:val="single" w:sz="4" w:space="0" w:color="auto"/>
            </w:tcBorders>
            <w:shd w:val="clear" w:color="auto" w:fill="auto"/>
            <w:noWrap/>
            <w:vAlign w:val="bottom"/>
            <w:hideMark/>
          </w:tcPr>
          <w:p w14:paraId="0CED4DE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w:t>
            </w:r>
          </w:p>
        </w:tc>
        <w:tc>
          <w:tcPr>
            <w:tcW w:w="700" w:type="dxa"/>
            <w:tcBorders>
              <w:top w:val="nil"/>
              <w:left w:val="nil"/>
              <w:bottom w:val="nil"/>
              <w:right w:val="nil"/>
            </w:tcBorders>
            <w:shd w:val="clear" w:color="auto" w:fill="auto"/>
            <w:noWrap/>
            <w:vAlign w:val="bottom"/>
            <w:hideMark/>
          </w:tcPr>
          <w:p w14:paraId="06D25F3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4F9BF26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700" w:type="dxa"/>
            <w:tcBorders>
              <w:top w:val="nil"/>
              <w:left w:val="nil"/>
              <w:bottom w:val="nil"/>
              <w:right w:val="nil"/>
            </w:tcBorders>
            <w:shd w:val="clear" w:color="auto" w:fill="auto"/>
            <w:noWrap/>
            <w:vAlign w:val="bottom"/>
            <w:hideMark/>
          </w:tcPr>
          <w:p w14:paraId="2CAF84C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852" w:type="dxa"/>
            <w:tcBorders>
              <w:top w:val="nil"/>
              <w:left w:val="nil"/>
              <w:bottom w:val="nil"/>
              <w:right w:val="nil"/>
            </w:tcBorders>
            <w:shd w:val="clear" w:color="auto" w:fill="auto"/>
            <w:noWrap/>
            <w:vAlign w:val="bottom"/>
            <w:hideMark/>
          </w:tcPr>
          <w:p w14:paraId="6485AFF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42.2</w:t>
            </w:r>
          </w:p>
        </w:tc>
        <w:tc>
          <w:tcPr>
            <w:tcW w:w="700" w:type="dxa"/>
            <w:tcBorders>
              <w:top w:val="nil"/>
              <w:left w:val="nil"/>
              <w:bottom w:val="nil"/>
              <w:right w:val="nil"/>
            </w:tcBorders>
            <w:shd w:val="clear" w:color="auto" w:fill="auto"/>
            <w:noWrap/>
            <w:vAlign w:val="bottom"/>
            <w:hideMark/>
          </w:tcPr>
          <w:p w14:paraId="77BB8EB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w:t>
            </w:r>
          </w:p>
        </w:tc>
        <w:tc>
          <w:tcPr>
            <w:tcW w:w="702" w:type="dxa"/>
            <w:tcBorders>
              <w:top w:val="nil"/>
              <w:left w:val="nil"/>
              <w:bottom w:val="nil"/>
              <w:right w:val="single" w:sz="4" w:space="0" w:color="auto"/>
            </w:tcBorders>
            <w:shd w:val="clear" w:color="auto" w:fill="auto"/>
            <w:noWrap/>
            <w:vAlign w:val="bottom"/>
            <w:hideMark/>
          </w:tcPr>
          <w:p w14:paraId="715FA87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51.3</w:t>
            </w:r>
          </w:p>
        </w:tc>
      </w:tr>
      <w:tr w:rsidR="005B2585" w:rsidRPr="007C740F" w14:paraId="68AB325A"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noWrap/>
            <w:vAlign w:val="bottom"/>
            <w:hideMark/>
          </w:tcPr>
          <w:p w14:paraId="30AB3B64"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Rare single gene</w:t>
            </w:r>
          </w:p>
        </w:tc>
        <w:tc>
          <w:tcPr>
            <w:tcW w:w="827" w:type="dxa"/>
            <w:tcBorders>
              <w:top w:val="nil"/>
              <w:left w:val="nil"/>
              <w:bottom w:val="nil"/>
              <w:right w:val="single" w:sz="4" w:space="0" w:color="auto"/>
            </w:tcBorders>
            <w:shd w:val="clear" w:color="auto" w:fill="auto"/>
            <w:noWrap/>
            <w:vAlign w:val="bottom"/>
            <w:hideMark/>
          </w:tcPr>
          <w:p w14:paraId="341231B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10.66</w:t>
            </w:r>
          </w:p>
        </w:tc>
        <w:tc>
          <w:tcPr>
            <w:tcW w:w="700" w:type="dxa"/>
            <w:tcBorders>
              <w:top w:val="nil"/>
              <w:left w:val="nil"/>
              <w:bottom w:val="nil"/>
              <w:right w:val="nil"/>
            </w:tcBorders>
            <w:shd w:val="clear" w:color="auto" w:fill="auto"/>
            <w:noWrap/>
            <w:vAlign w:val="bottom"/>
            <w:hideMark/>
          </w:tcPr>
          <w:p w14:paraId="3908F5E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11.0</w:t>
            </w:r>
          </w:p>
        </w:tc>
        <w:tc>
          <w:tcPr>
            <w:tcW w:w="700" w:type="dxa"/>
            <w:tcBorders>
              <w:top w:val="nil"/>
              <w:left w:val="nil"/>
              <w:bottom w:val="nil"/>
              <w:right w:val="nil"/>
            </w:tcBorders>
            <w:shd w:val="clear" w:color="auto" w:fill="auto"/>
            <w:noWrap/>
            <w:vAlign w:val="bottom"/>
            <w:hideMark/>
          </w:tcPr>
          <w:p w14:paraId="27CF0F1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58.0</w:t>
            </w:r>
          </w:p>
        </w:tc>
        <w:tc>
          <w:tcPr>
            <w:tcW w:w="702" w:type="dxa"/>
            <w:tcBorders>
              <w:top w:val="nil"/>
              <w:left w:val="nil"/>
              <w:bottom w:val="nil"/>
              <w:right w:val="nil"/>
            </w:tcBorders>
            <w:shd w:val="clear" w:color="auto" w:fill="auto"/>
            <w:noWrap/>
            <w:vAlign w:val="bottom"/>
            <w:hideMark/>
          </w:tcPr>
          <w:p w14:paraId="4D81B8B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29.6</w:t>
            </w:r>
          </w:p>
        </w:tc>
        <w:tc>
          <w:tcPr>
            <w:tcW w:w="700" w:type="dxa"/>
            <w:tcBorders>
              <w:top w:val="nil"/>
              <w:left w:val="single" w:sz="4" w:space="0" w:color="auto"/>
              <w:bottom w:val="nil"/>
              <w:right w:val="nil"/>
            </w:tcBorders>
            <w:shd w:val="clear" w:color="auto" w:fill="auto"/>
            <w:noWrap/>
            <w:vAlign w:val="bottom"/>
            <w:hideMark/>
          </w:tcPr>
          <w:p w14:paraId="049857D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w:t>
            </w:r>
          </w:p>
        </w:tc>
        <w:tc>
          <w:tcPr>
            <w:tcW w:w="700" w:type="dxa"/>
            <w:tcBorders>
              <w:top w:val="nil"/>
              <w:left w:val="nil"/>
              <w:bottom w:val="nil"/>
              <w:right w:val="nil"/>
            </w:tcBorders>
            <w:shd w:val="clear" w:color="auto" w:fill="auto"/>
            <w:noWrap/>
            <w:vAlign w:val="bottom"/>
            <w:hideMark/>
          </w:tcPr>
          <w:p w14:paraId="636F9E2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w:t>
            </w:r>
          </w:p>
        </w:tc>
        <w:tc>
          <w:tcPr>
            <w:tcW w:w="700" w:type="dxa"/>
            <w:tcBorders>
              <w:top w:val="nil"/>
              <w:left w:val="nil"/>
              <w:bottom w:val="nil"/>
              <w:right w:val="nil"/>
            </w:tcBorders>
            <w:shd w:val="clear" w:color="auto" w:fill="auto"/>
            <w:noWrap/>
            <w:vAlign w:val="bottom"/>
            <w:hideMark/>
          </w:tcPr>
          <w:p w14:paraId="4C12914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10.2</w:t>
            </w:r>
          </w:p>
        </w:tc>
        <w:tc>
          <w:tcPr>
            <w:tcW w:w="852" w:type="dxa"/>
            <w:tcBorders>
              <w:top w:val="nil"/>
              <w:left w:val="nil"/>
              <w:bottom w:val="nil"/>
              <w:right w:val="nil"/>
            </w:tcBorders>
            <w:shd w:val="clear" w:color="auto" w:fill="auto"/>
            <w:noWrap/>
            <w:vAlign w:val="bottom"/>
            <w:hideMark/>
          </w:tcPr>
          <w:p w14:paraId="7F5C7EE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1A7E290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26.4</w:t>
            </w:r>
          </w:p>
        </w:tc>
        <w:tc>
          <w:tcPr>
            <w:tcW w:w="702" w:type="dxa"/>
            <w:tcBorders>
              <w:top w:val="nil"/>
              <w:left w:val="nil"/>
              <w:bottom w:val="nil"/>
              <w:right w:val="single" w:sz="4" w:space="0" w:color="auto"/>
            </w:tcBorders>
            <w:shd w:val="clear" w:color="auto" w:fill="auto"/>
            <w:noWrap/>
            <w:vAlign w:val="bottom"/>
            <w:hideMark/>
          </w:tcPr>
          <w:p w14:paraId="74F8F72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53.4</w:t>
            </w:r>
          </w:p>
        </w:tc>
        <w:tc>
          <w:tcPr>
            <w:tcW w:w="700" w:type="dxa"/>
            <w:tcBorders>
              <w:top w:val="nil"/>
              <w:left w:val="nil"/>
              <w:bottom w:val="nil"/>
              <w:right w:val="nil"/>
            </w:tcBorders>
            <w:shd w:val="clear" w:color="auto" w:fill="auto"/>
            <w:noWrap/>
            <w:vAlign w:val="bottom"/>
            <w:hideMark/>
          </w:tcPr>
          <w:p w14:paraId="0E2DF4C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w:t>
            </w:r>
          </w:p>
        </w:tc>
        <w:tc>
          <w:tcPr>
            <w:tcW w:w="700" w:type="dxa"/>
            <w:tcBorders>
              <w:top w:val="nil"/>
              <w:left w:val="nil"/>
              <w:bottom w:val="nil"/>
              <w:right w:val="nil"/>
            </w:tcBorders>
            <w:shd w:val="clear" w:color="auto" w:fill="auto"/>
            <w:noWrap/>
            <w:vAlign w:val="bottom"/>
            <w:hideMark/>
          </w:tcPr>
          <w:p w14:paraId="1413271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0.9</w:t>
            </w:r>
          </w:p>
        </w:tc>
        <w:tc>
          <w:tcPr>
            <w:tcW w:w="700" w:type="dxa"/>
            <w:tcBorders>
              <w:top w:val="nil"/>
              <w:left w:val="nil"/>
              <w:bottom w:val="nil"/>
              <w:right w:val="nil"/>
            </w:tcBorders>
            <w:shd w:val="clear" w:color="auto" w:fill="auto"/>
            <w:noWrap/>
            <w:vAlign w:val="bottom"/>
            <w:hideMark/>
          </w:tcPr>
          <w:p w14:paraId="3DD07AA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10.8</w:t>
            </w:r>
          </w:p>
        </w:tc>
        <w:tc>
          <w:tcPr>
            <w:tcW w:w="852" w:type="dxa"/>
            <w:tcBorders>
              <w:top w:val="nil"/>
              <w:left w:val="nil"/>
              <w:bottom w:val="nil"/>
              <w:right w:val="nil"/>
            </w:tcBorders>
            <w:shd w:val="clear" w:color="auto" w:fill="auto"/>
            <w:noWrap/>
            <w:vAlign w:val="bottom"/>
            <w:hideMark/>
          </w:tcPr>
          <w:p w14:paraId="01FEEAF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2B89788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46.4</w:t>
            </w:r>
          </w:p>
        </w:tc>
        <w:tc>
          <w:tcPr>
            <w:tcW w:w="702" w:type="dxa"/>
            <w:tcBorders>
              <w:top w:val="nil"/>
              <w:left w:val="nil"/>
              <w:bottom w:val="nil"/>
              <w:right w:val="single" w:sz="4" w:space="0" w:color="auto"/>
            </w:tcBorders>
            <w:shd w:val="clear" w:color="auto" w:fill="auto"/>
            <w:noWrap/>
            <w:vAlign w:val="bottom"/>
            <w:hideMark/>
          </w:tcPr>
          <w:p w14:paraId="53E08DC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38.8</w:t>
            </w:r>
          </w:p>
        </w:tc>
      </w:tr>
      <w:tr w:rsidR="005B2585" w:rsidRPr="007C740F" w14:paraId="589F6CB5"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vAlign w:val="bottom"/>
            <w:hideMark/>
          </w:tcPr>
          <w:p w14:paraId="0AB78F99"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Hb disorders</w:t>
            </w:r>
          </w:p>
        </w:tc>
        <w:tc>
          <w:tcPr>
            <w:tcW w:w="827" w:type="dxa"/>
            <w:tcBorders>
              <w:top w:val="nil"/>
              <w:left w:val="nil"/>
              <w:bottom w:val="nil"/>
              <w:right w:val="single" w:sz="4" w:space="0" w:color="auto"/>
            </w:tcBorders>
            <w:shd w:val="clear" w:color="auto" w:fill="auto"/>
            <w:vAlign w:val="bottom"/>
            <w:hideMark/>
          </w:tcPr>
          <w:p w14:paraId="3F0C9F7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3.67</w:t>
            </w:r>
          </w:p>
        </w:tc>
        <w:tc>
          <w:tcPr>
            <w:tcW w:w="700" w:type="dxa"/>
            <w:tcBorders>
              <w:top w:val="nil"/>
              <w:left w:val="nil"/>
              <w:bottom w:val="nil"/>
              <w:right w:val="nil"/>
            </w:tcBorders>
            <w:shd w:val="clear" w:color="auto" w:fill="auto"/>
            <w:noWrap/>
            <w:vAlign w:val="bottom"/>
            <w:hideMark/>
          </w:tcPr>
          <w:p w14:paraId="624DC17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5C03BF0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63.5</w:t>
            </w:r>
          </w:p>
        </w:tc>
        <w:tc>
          <w:tcPr>
            <w:tcW w:w="702" w:type="dxa"/>
            <w:tcBorders>
              <w:top w:val="nil"/>
              <w:left w:val="nil"/>
              <w:bottom w:val="nil"/>
              <w:right w:val="nil"/>
            </w:tcBorders>
            <w:shd w:val="clear" w:color="auto" w:fill="auto"/>
            <w:noWrap/>
            <w:vAlign w:val="bottom"/>
            <w:hideMark/>
          </w:tcPr>
          <w:p w14:paraId="16C476B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33.7</w:t>
            </w:r>
          </w:p>
        </w:tc>
        <w:tc>
          <w:tcPr>
            <w:tcW w:w="700" w:type="dxa"/>
            <w:tcBorders>
              <w:top w:val="nil"/>
              <w:left w:val="single" w:sz="4" w:space="0" w:color="auto"/>
              <w:bottom w:val="nil"/>
              <w:right w:val="nil"/>
            </w:tcBorders>
            <w:shd w:val="clear" w:color="auto" w:fill="auto"/>
            <w:noWrap/>
            <w:vAlign w:val="bottom"/>
            <w:hideMark/>
          </w:tcPr>
          <w:p w14:paraId="0A0B180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6.0</w:t>
            </w:r>
          </w:p>
        </w:tc>
        <w:tc>
          <w:tcPr>
            <w:tcW w:w="700" w:type="dxa"/>
            <w:tcBorders>
              <w:top w:val="nil"/>
              <w:left w:val="nil"/>
              <w:bottom w:val="nil"/>
              <w:right w:val="nil"/>
            </w:tcBorders>
            <w:shd w:val="clear" w:color="auto" w:fill="auto"/>
            <w:noWrap/>
            <w:vAlign w:val="bottom"/>
            <w:hideMark/>
          </w:tcPr>
          <w:p w14:paraId="66A5C4A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17.7</w:t>
            </w:r>
          </w:p>
        </w:tc>
        <w:tc>
          <w:tcPr>
            <w:tcW w:w="700" w:type="dxa"/>
            <w:tcBorders>
              <w:top w:val="nil"/>
              <w:left w:val="nil"/>
              <w:bottom w:val="nil"/>
              <w:right w:val="nil"/>
            </w:tcBorders>
            <w:shd w:val="clear" w:color="auto" w:fill="auto"/>
            <w:noWrap/>
            <w:vAlign w:val="bottom"/>
            <w:hideMark/>
          </w:tcPr>
          <w:p w14:paraId="0076C53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852" w:type="dxa"/>
            <w:tcBorders>
              <w:top w:val="nil"/>
              <w:left w:val="nil"/>
              <w:bottom w:val="nil"/>
              <w:right w:val="nil"/>
            </w:tcBorders>
            <w:shd w:val="clear" w:color="auto" w:fill="auto"/>
            <w:noWrap/>
            <w:vAlign w:val="bottom"/>
            <w:hideMark/>
          </w:tcPr>
          <w:p w14:paraId="67779FF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733FFB2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2.1</w:t>
            </w:r>
          </w:p>
        </w:tc>
        <w:tc>
          <w:tcPr>
            <w:tcW w:w="702" w:type="dxa"/>
            <w:tcBorders>
              <w:top w:val="nil"/>
              <w:left w:val="nil"/>
              <w:bottom w:val="nil"/>
              <w:right w:val="single" w:sz="4" w:space="0" w:color="auto"/>
            </w:tcBorders>
            <w:shd w:val="clear" w:color="auto" w:fill="auto"/>
            <w:noWrap/>
            <w:vAlign w:val="bottom"/>
            <w:hideMark/>
          </w:tcPr>
          <w:p w14:paraId="7891FBB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68.5</w:t>
            </w:r>
          </w:p>
        </w:tc>
        <w:tc>
          <w:tcPr>
            <w:tcW w:w="700" w:type="dxa"/>
            <w:tcBorders>
              <w:top w:val="nil"/>
              <w:left w:val="nil"/>
              <w:bottom w:val="nil"/>
              <w:right w:val="nil"/>
            </w:tcBorders>
            <w:shd w:val="clear" w:color="auto" w:fill="auto"/>
            <w:noWrap/>
            <w:vAlign w:val="bottom"/>
            <w:hideMark/>
          </w:tcPr>
          <w:p w14:paraId="1372E73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w:t>
            </w:r>
          </w:p>
        </w:tc>
        <w:tc>
          <w:tcPr>
            <w:tcW w:w="700" w:type="dxa"/>
            <w:tcBorders>
              <w:top w:val="nil"/>
              <w:left w:val="nil"/>
              <w:bottom w:val="nil"/>
              <w:right w:val="nil"/>
            </w:tcBorders>
            <w:shd w:val="clear" w:color="auto" w:fill="auto"/>
            <w:noWrap/>
            <w:vAlign w:val="bottom"/>
            <w:hideMark/>
          </w:tcPr>
          <w:p w14:paraId="3A1CD7F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w:t>
            </w:r>
          </w:p>
        </w:tc>
        <w:tc>
          <w:tcPr>
            <w:tcW w:w="700" w:type="dxa"/>
            <w:tcBorders>
              <w:top w:val="nil"/>
              <w:left w:val="nil"/>
              <w:bottom w:val="nil"/>
              <w:right w:val="nil"/>
            </w:tcBorders>
            <w:shd w:val="clear" w:color="auto" w:fill="auto"/>
            <w:noWrap/>
            <w:vAlign w:val="bottom"/>
            <w:hideMark/>
          </w:tcPr>
          <w:p w14:paraId="7F95CDE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852" w:type="dxa"/>
            <w:tcBorders>
              <w:top w:val="nil"/>
              <w:left w:val="nil"/>
              <w:bottom w:val="nil"/>
              <w:right w:val="nil"/>
            </w:tcBorders>
            <w:shd w:val="clear" w:color="auto" w:fill="auto"/>
            <w:noWrap/>
            <w:vAlign w:val="bottom"/>
            <w:hideMark/>
          </w:tcPr>
          <w:p w14:paraId="310A344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6F8525C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51.4</w:t>
            </w:r>
          </w:p>
        </w:tc>
        <w:tc>
          <w:tcPr>
            <w:tcW w:w="702" w:type="dxa"/>
            <w:tcBorders>
              <w:top w:val="nil"/>
              <w:left w:val="nil"/>
              <w:bottom w:val="nil"/>
              <w:right w:val="single" w:sz="4" w:space="0" w:color="auto"/>
            </w:tcBorders>
            <w:shd w:val="clear" w:color="auto" w:fill="auto"/>
            <w:noWrap/>
            <w:vAlign w:val="bottom"/>
            <w:hideMark/>
          </w:tcPr>
          <w:p w14:paraId="6207C2F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41.4</w:t>
            </w:r>
          </w:p>
        </w:tc>
      </w:tr>
      <w:tr w:rsidR="005B2585" w:rsidRPr="007C740F" w14:paraId="379793DD"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noWrap/>
            <w:vAlign w:val="bottom"/>
            <w:hideMark/>
          </w:tcPr>
          <w:p w14:paraId="3AFBE69B"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Rh haem disease</w:t>
            </w:r>
          </w:p>
        </w:tc>
        <w:tc>
          <w:tcPr>
            <w:tcW w:w="827" w:type="dxa"/>
            <w:tcBorders>
              <w:top w:val="nil"/>
              <w:left w:val="nil"/>
              <w:bottom w:val="nil"/>
              <w:right w:val="single" w:sz="4" w:space="0" w:color="auto"/>
            </w:tcBorders>
            <w:shd w:val="clear" w:color="auto" w:fill="auto"/>
            <w:noWrap/>
            <w:vAlign w:val="bottom"/>
            <w:hideMark/>
          </w:tcPr>
          <w:p w14:paraId="6CCAADF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2.39</w:t>
            </w:r>
          </w:p>
        </w:tc>
        <w:tc>
          <w:tcPr>
            <w:tcW w:w="700" w:type="dxa"/>
            <w:tcBorders>
              <w:top w:val="nil"/>
              <w:left w:val="nil"/>
              <w:bottom w:val="nil"/>
              <w:right w:val="nil"/>
            </w:tcBorders>
            <w:shd w:val="clear" w:color="auto" w:fill="auto"/>
            <w:noWrap/>
            <w:vAlign w:val="bottom"/>
            <w:hideMark/>
          </w:tcPr>
          <w:p w14:paraId="3681890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25.0</w:t>
            </w:r>
          </w:p>
        </w:tc>
        <w:tc>
          <w:tcPr>
            <w:tcW w:w="700" w:type="dxa"/>
            <w:tcBorders>
              <w:top w:val="nil"/>
              <w:left w:val="nil"/>
              <w:bottom w:val="nil"/>
              <w:right w:val="nil"/>
            </w:tcBorders>
            <w:shd w:val="clear" w:color="auto" w:fill="auto"/>
            <w:noWrap/>
            <w:vAlign w:val="bottom"/>
            <w:hideMark/>
          </w:tcPr>
          <w:p w14:paraId="2273457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37.5</w:t>
            </w:r>
          </w:p>
        </w:tc>
        <w:tc>
          <w:tcPr>
            <w:tcW w:w="702" w:type="dxa"/>
            <w:tcBorders>
              <w:top w:val="nil"/>
              <w:left w:val="nil"/>
              <w:bottom w:val="nil"/>
              <w:right w:val="nil"/>
            </w:tcBorders>
            <w:shd w:val="clear" w:color="auto" w:fill="auto"/>
            <w:noWrap/>
            <w:vAlign w:val="bottom"/>
            <w:hideMark/>
          </w:tcPr>
          <w:p w14:paraId="3B3B966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35.8</w:t>
            </w:r>
          </w:p>
        </w:tc>
        <w:tc>
          <w:tcPr>
            <w:tcW w:w="700" w:type="dxa"/>
            <w:tcBorders>
              <w:top w:val="nil"/>
              <w:left w:val="single" w:sz="4" w:space="0" w:color="auto"/>
              <w:bottom w:val="nil"/>
              <w:right w:val="nil"/>
            </w:tcBorders>
            <w:shd w:val="clear" w:color="auto" w:fill="auto"/>
            <w:noWrap/>
            <w:vAlign w:val="bottom"/>
            <w:hideMark/>
          </w:tcPr>
          <w:p w14:paraId="7804E60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99.0</w:t>
            </w:r>
          </w:p>
        </w:tc>
        <w:tc>
          <w:tcPr>
            <w:tcW w:w="700" w:type="dxa"/>
            <w:tcBorders>
              <w:top w:val="nil"/>
              <w:left w:val="nil"/>
              <w:bottom w:val="nil"/>
              <w:right w:val="nil"/>
            </w:tcBorders>
            <w:shd w:val="clear" w:color="auto" w:fill="auto"/>
            <w:noWrap/>
            <w:vAlign w:val="bottom"/>
            <w:hideMark/>
          </w:tcPr>
          <w:p w14:paraId="6EF9456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6BE8565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0.3</w:t>
            </w:r>
          </w:p>
        </w:tc>
        <w:tc>
          <w:tcPr>
            <w:tcW w:w="852" w:type="dxa"/>
            <w:tcBorders>
              <w:top w:val="nil"/>
              <w:left w:val="nil"/>
              <w:bottom w:val="nil"/>
              <w:right w:val="nil"/>
            </w:tcBorders>
            <w:shd w:val="clear" w:color="auto" w:fill="auto"/>
            <w:noWrap/>
            <w:vAlign w:val="bottom"/>
            <w:hideMark/>
          </w:tcPr>
          <w:p w14:paraId="4B45EE7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54D9825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2" w:type="dxa"/>
            <w:tcBorders>
              <w:top w:val="nil"/>
              <w:left w:val="nil"/>
              <w:bottom w:val="nil"/>
              <w:right w:val="single" w:sz="4" w:space="0" w:color="auto"/>
            </w:tcBorders>
            <w:shd w:val="clear" w:color="auto" w:fill="auto"/>
            <w:noWrap/>
            <w:vAlign w:val="bottom"/>
            <w:hideMark/>
          </w:tcPr>
          <w:p w14:paraId="37698E1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0.7</w:t>
            </w:r>
          </w:p>
        </w:tc>
        <w:tc>
          <w:tcPr>
            <w:tcW w:w="700" w:type="dxa"/>
            <w:tcBorders>
              <w:top w:val="nil"/>
              <w:left w:val="nil"/>
              <w:bottom w:val="nil"/>
              <w:right w:val="nil"/>
            </w:tcBorders>
            <w:shd w:val="clear" w:color="auto" w:fill="auto"/>
            <w:noWrap/>
            <w:vAlign w:val="bottom"/>
            <w:hideMark/>
          </w:tcPr>
          <w:p w14:paraId="677D877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38.2</w:t>
            </w:r>
          </w:p>
        </w:tc>
        <w:tc>
          <w:tcPr>
            <w:tcW w:w="700" w:type="dxa"/>
            <w:tcBorders>
              <w:top w:val="nil"/>
              <w:left w:val="nil"/>
              <w:bottom w:val="nil"/>
              <w:right w:val="nil"/>
            </w:tcBorders>
            <w:shd w:val="clear" w:color="auto" w:fill="auto"/>
            <w:noWrap/>
            <w:vAlign w:val="bottom"/>
            <w:hideMark/>
          </w:tcPr>
          <w:p w14:paraId="55C38C8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49F38AE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15.4</w:t>
            </w:r>
          </w:p>
        </w:tc>
        <w:tc>
          <w:tcPr>
            <w:tcW w:w="852" w:type="dxa"/>
            <w:tcBorders>
              <w:top w:val="nil"/>
              <w:left w:val="nil"/>
              <w:bottom w:val="nil"/>
              <w:right w:val="nil"/>
            </w:tcBorders>
            <w:shd w:val="clear" w:color="auto" w:fill="auto"/>
            <w:noWrap/>
            <w:vAlign w:val="bottom"/>
            <w:hideMark/>
          </w:tcPr>
          <w:p w14:paraId="1F25D5E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098AF78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18.8</w:t>
            </w:r>
          </w:p>
        </w:tc>
        <w:tc>
          <w:tcPr>
            <w:tcW w:w="702" w:type="dxa"/>
            <w:tcBorders>
              <w:top w:val="nil"/>
              <w:left w:val="nil"/>
              <w:bottom w:val="nil"/>
              <w:right w:val="single" w:sz="4" w:space="0" w:color="auto"/>
            </w:tcBorders>
            <w:shd w:val="clear" w:color="auto" w:fill="auto"/>
            <w:noWrap/>
            <w:vAlign w:val="bottom"/>
            <w:hideMark/>
          </w:tcPr>
          <w:p w14:paraId="3346A0E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25.9</w:t>
            </w:r>
          </w:p>
        </w:tc>
      </w:tr>
      <w:tr w:rsidR="005B2585" w:rsidRPr="007C740F" w14:paraId="091172BB" w14:textId="77777777" w:rsidTr="00D80C87">
        <w:trPr>
          <w:trHeight w:val="240"/>
          <w:jc w:val="center"/>
        </w:trPr>
        <w:tc>
          <w:tcPr>
            <w:tcW w:w="2100" w:type="dxa"/>
            <w:tcBorders>
              <w:top w:val="nil"/>
              <w:left w:val="single" w:sz="4" w:space="0" w:color="auto"/>
              <w:bottom w:val="nil"/>
              <w:right w:val="single" w:sz="4" w:space="0" w:color="auto"/>
            </w:tcBorders>
            <w:shd w:val="clear" w:color="auto" w:fill="auto"/>
            <w:vAlign w:val="bottom"/>
            <w:hideMark/>
          </w:tcPr>
          <w:p w14:paraId="4D1045DF"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G6PDd NN jaundice</w:t>
            </w:r>
          </w:p>
        </w:tc>
        <w:tc>
          <w:tcPr>
            <w:tcW w:w="827" w:type="dxa"/>
            <w:tcBorders>
              <w:top w:val="nil"/>
              <w:left w:val="nil"/>
              <w:bottom w:val="nil"/>
              <w:right w:val="single" w:sz="4" w:space="0" w:color="auto"/>
            </w:tcBorders>
            <w:shd w:val="clear" w:color="auto" w:fill="auto"/>
            <w:vAlign w:val="bottom"/>
            <w:hideMark/>
          </w:tcPr>
          <w:p w14:paraId="04556BE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0.86</w:t>
            </w:r>
          </w:p>
        </w:tc>
        <w:tc>
          <w:tcPr>
            <w:tcW w:w="700" w:type="dxa"/>
            <w:tcBorders>
              <w:top w:val="nil"/>
              <w:left w:val="nil"/>
              <w:bottom w:val="nil"/>
              <w:right w:val="nil"/>
            </w:tcBorders>
            <w:shd w:val="clear" w:color="auto" w:fill="auto"/>
            <w:noWrap/>
            <w:vAlign w:val="bottom"/>
            <w:hideMark/>
          </w:tcPr>
          <w:p w14:paraId="5C1877D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31BA82E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50.0</w:t>
            </w:r>
          </w:p>
        </w:tc>
        <w:tc>
          <w:tcPr>
            <w:tcW w:w="702" w:type="dxa"/>
            <w:tcBorders>
              <w:top w:val="nil"/>
              <w:left w:val="nil"/>
              <w:bottom w:val="nil"/>
              <w:right w:val="nil"/>
            </w:tcBorders>
            <w:shd w:val="clear" w:color="auto" w:fill="auto"/>
            <w:noWrap/>
            <w:vAlign w:val="bottom"/>
            <w:hideMark/>
          </w:tcPr>
          <w:p w14:paraId="5B3C547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47.9</w:t>
            </w:r>
          </w:p>
        </w:tc>
        <w:tc>
          <w:tcPr>
            <w:tcW w:w="700" w:type="dxa"/>
            <w:tcBorders>
              <w:top w:val="nil"/>
              <w:left w:val="single" w:sz="4" w:space="0" w:color="auto"/>
              <w:bottom w:val="nil"/>
              <w:right w:val="nil"/>
            </w:tcBorders>
            <w:shd w:val="clear" w:color="auto" w:fill="auto"/>
            <w:noWrap/>
            <w:vAlign w:val="bottom"/>
            <w:hideMark/>
          </w:tcPr>
          <w:p w14:paraId="3481722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65055E5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1A0037F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852" w:type="dxa"/>
            <w:tcBorders>
              <w:top w:val="nil"/>
              <w:left w:val="nil"/>
              <w:bottom w:val="nil"/>
              <w:right w:val="nil"/>
            </w:tcBorders>
            <w:shd w:val="clear" w:color="auto" w:fill="auto"/>
            <w:noWrap/>
            <w:vAlign w:val="bottom"/>
            <w:hideMark/>
          </w:tcPr>
          <w:p w14:paraId="156F15A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100.0</w:t>
            </w:r>
          </w:p>
        </w:tc>
        <w:tc>
          <w:tcPr>
            <w:tcW w:w="700" w:type="dxa"/>
            <w:tcBorders>
              <w:top w:val="nil"/>
              <w:left w:val="nil"/>
              <w:bottom w:val="nil"/>
              <w:right w:val="nil"/>
            </w:tcBorders>
            <w:shd w:val="clear" w:color="auto" w:fill="auto"/>
            <w:noWrap/>
            <w:vAlign w:val="bottom"/>
            <w:hideMark/>
          </w:tcPr>
          <w:p w14:paraId="619F9B1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2" w:type="dxa"/>
            <w:tcBorders>
              <w:top w:val="nil"/>
              <w:left w:val="nil"/>
              <w:bottom w:val="nil"/>
              <w:right w:val="single" w:sz="4" w:space="0" w:color="auto"/>
            </w:tcBorders>
            <w:shd w:val="clear" w:color="auto" w:fill="auto"/>
            <w:noWrap/>
            <w:vAlign w:val="bottom"/>
            <w:hideMark/>
          </w:tcPr>
          <w:p w14:paraId="430D83E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7889A70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53DAAD2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0" w:type="dxa"/>
            <w:tcBorders>
              <w:top w:val="nil"/>
              <w:left w:val="nil"/>
              <w:bottom w:val="nil"/>
              <w:right w:val="nil"/>
            </w:tcBorders>
            <w:shd w:val="clear" w:color="auto" w:fill="auto"/>
            <w:noWrap/>
            <w:vAlign w:val="bottom"/>
            <w:hideMark/>
          </w:tcPr>
          <w:p w14:paraId="0730E4A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852" w:type="dxa"/>
            <w:tcBorders>
              <w:top w:val="nil"/>
              <w:left w:val="nil"/>
              <w:bottom w:val="nil"/>
              <w:right w:val="nil"/>
            </w:tcBorders>
            <w:shd w:val="clear" w:color="auto" w:fill="auto"/>
            <w:noWrap/>
            <w:vAlign w:val="bottom"/>
            <w:hideMark/>
          </w:tcPr>
          <w:p w14:paraId="79C13C8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36.9</w:t>
            </w:r>
          </w:p>
        </w:tc>
        <w:tc>
          <w:tcPr>
            <w:tcW w:w="700" w:type="dxa"/>
            <w:tcBorders>
              <w:top w:val="nil"/>
              <w:left w:val="nil"/>
              <w:bottom w:val="nil"/>
              <w:right w:val="nil"/>
            </w:tcBorders>
            <w:shd w:val="clear" w:color="auto" w:fill="auto"/>
            <w:noWrap/>
            <w:vAlign w:val="bottom"/>
            <w:hideMark/>
          </w:tcPr>
          <w:p w14:paraId="053AE62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24.8</w:t>
            </w:r>
          </w:p>
        </w:tc>
        <w:tc>
          <w:tcPr>
            <w:tcW w:w="702" w:type="dxa"/>
            <w:tcBorders>
              <w:top w:val="nil"/>
              <w:left w:val="nil"/>
              <w:bottom w:val="nil"/>
              <w:right w:val="single" w:sz="4" w:space="0" w:color="auto"/>
            </w:tcBorders>
            <w:shd w:val="clear" w:color="auto" w:fill="auto"/>
            <w:noWrap/>
            <w:vAlign w:val="bottom"/>
            <w:hideMark/>
          </w:tcPr>
          <w:p w14:paraId="3F9D009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36.4</w:t>
            </w:r>
          </w:p>
        </w:tc>
      </w:tr>
      <w:tr w:rsidR="005B2585" w:rsidRPr="007C740F" w14:paraId="1659F40B" w14:textId="77777777" w:rsidTr="00D80C87">
        <w:trPr>
          <w:trHeight w:val="255"/>
          <w:jc w:val="center"/>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5372"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MGDb</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BFF34C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42.6</w:t>
            </w:r>
          </w:p>
        </w:tc>
        <w:tc>
          <w:tcPr>
            <w:tcW w:w="700" w:type="dxa"/>
            <w:tcBorders>
              <w:top w:val="single" w:sz="4" w:space="0" w:color="auto"/>
              <w:left w:val="nil"/>
              <w:bottom w:val="single" w:sz="4" w:space="0" w:color="auto"/>
              <w:right w:val="nil"/>
            </w:tcBorders>
            <w:shd w:val="clear" w:color="auto" w:fill="auto"/>
            <w:noWrap/>
            <w:vAlign w:val="bottom"/>
            <w:hideMark/>
          </w:tcPr>
          <w:p w14:paraId="289778C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7.6</w:t>
            </w:r>
          </w:p>
        </w:tc>
        <w:tc>
          <w:tcPr>
            <w:tcW w:w="700" w:type="dxa"/>
            <w:tcBorders>
              <w:top w:val="single" w:sz="4" w:space="0" w:color="auto"/>
              <w:left w:val="nil"/>
              <w:bottom w:val="single" w:sz="4" w:space="0" w:color="auto"/>
              <w:right w:val="nil"/>
            </w:tcBorders>
            <w:shd w:val="clear" w:color="auto" w:fill="auto"/>
            <w:noWrap/>
            <w:vAlign w:val="bottom"/>
            <w:hideMark/>
          </w:tcPr>
          <w:p w14:paraId="56021C2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56.9</w:t>
            </w:r>
          </w:p>
        </w:tc>
        <w:tc>
          <w:tcPr>
            <w:tcW w:w="702" w:type="dxa"/>
            <w:tcBorders>
              <w:top w:val="single" w:sz="4" w:space="0" w:color="auto"/>
              <w:left w:val="nil"/>
              <w:bottom w:val="single" w:sz="4" w:space="0" w:color="auto"/>
              <w:right w:val="nil"/>
            </w:tcBorders>
            <w:shd w:val="clear" w:color="auto" w:fill="auto"/>
            <w:noWrap/>
            <w:vAlign w:val="bottom"/>
            <w:hideMark/>
          </w:tcPr>
          <w:p w14:paraId="29FEC92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34.1</w:t>
            </w:r>
          </w:p>
        </w:tc>
        <w:tc>
          <w:tcPr>
            <w:tcW w:w="700" w:type="dxa"/>
            <w:tcBorders>
              <w:top w:val="single" w:sz="4" w:space="0" w:color="auto"/>
              <w:left w:val="single" w:sz="4" w:space="0" w:color="auto"/>
              <w:bottom w:val="single" w:sz="4" w:space="0" w:color="auto"/>
              <w:right w:val="nil"/>
            </w:tcBorders>
            <w:shd w:val="clear" w:color="auto" w:fill="auto"/>
            <w:noWrap/>
            <w:vAlign w:val="bottom"/>
            <w:hideMark/>
          </w:tcPr>
          <w:p w14:paraId="2E78A85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12.0</w:t>
            </w:r>
          </w:p>
        </w:tc>
        <w:tc>
          <w:tcPr>
            <w:tcW w:w="700" w:type="dxa"/>
            <w:tcBorders>
              <w:top w:val="single" w:sz="4" w:space="0" w:color="auto"/>
              <w:left w:val="nil"/>
              <w:bottom w:val="single" w:sz="4" w:space="0" w:color="auto"/>
              <w:right w:val="nil"/>
            </w:tcBorders>
            <w:shd w:val="clear" w:color="auto" w:fill="auto"/>
            <w:noWrap/>
            <w:vAlign w:val="bottom"/>
            <w:hideMark/>
          </w:tcPr>
          <w:p w14:paraId="65DF58D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12.0</w:t>
            </w:r>
          </w:p>
        </w:tc>
        <w:tc>
          <w:tcPr>
            <w:tcW w:w="700" w:type="dxa"/>
            <w:tcBorders>
              <w:top w:val="single" w:sz="4" w:space="0" w:color="auto"/>
              <w:left w:val="nil"/>
              <w:bottom w:val="single" w:sz="4" w:space="0" w:color="auto"/>
              <w:right w:val="nil"/>
            </w:tcBorders>
            <w:shd w:val="clear" w:color="auto" w:fill="auto"/>
            <w:noWrap/>
            <w:vAlign w:val="bottom"/>
            <w:hideMark/>
          </w:tcPr>
          <w:p w14:paraId="4460094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w:t>
            </w:r>
          </w:p>
        </w:tc>
        <w:tc>
          <w:tcPr>
            <w:tcW w:w="852" w:type="dxa"/>
            <w:tcBorders>
              <w:top w:val="single" w:sz="4" w:space="0" w:color="auto"/>
              <w:left w:val="nil"/>
              <w:bottom w:val="single" w:sz="4" w:space="0" w:color="auto"/>
              <w:right w:val="nil"/>
            </w:tcBorders>
            <w:shd w:val="clear" w:color="auto" w:fill="auto"/>
            <w:noWrap/>
            <w:vAlign w:val="bottom"/>
            <w:hideMark/>
          </w:tcPr>
          <w:p w14:paraId="33507BC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31.8</w:t>
            </w:r>
          </w:p>
        </w:tc>
        <w:tc>
          <w:tcPr>
            <w:tcW w:w="700" w:type="dxa"/>
            <w:tcBorders>
              <w:top w:val="single" w:sz="4" w:space="0" w:color="auto"/>
              <w:left w:val="nil"/>
              <w:bottom w:val="single" w:sz="4" w:space="0" w:color="auto"/>
              <w:right w:val="nil"/>
            </w:tcBorders>
            <w:shd w:val="clear" w:color="auto" w:fill="auto"/>
            <w:noWrap/>
            <w:vAlign w:val="bottom"/>
            <w:hideMark/>
          </w:tcPr>
          <w:p w14:paraId="31A84CD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8.1</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2099AB8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30.8</w:t>
            </w:r>
          </w:p>
        </w:tc>
        <w:tc>
          <w:tcPr>
            <w:tcW w:w="700" w:type="dxa"/>
            <w:tcBorders>
              <w:top w:val="single" w:sz="4" w:space="0" w:color="auto"/>
              <w:left w:val="nil"/>
              <w:bottom w:val="single" w:sz="4" w:space="0" w:color="auto"/>
              <w:right w:val="nil"/>
            </w:tcBorders>
            <w:shd w:val="clear" w:color="auto" w:fill="auto"/>
            <w:noWrap/>
            <w:vAlign w:val="bottom"/>
            <w:hideMark/>
          </w:tcPr>
          <w:p w14:paraId="425538F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w:t>
            </w:r>
          </w:p>
        </w:tc>
        <w:tc>
          <w:tcPr>
            <w:tcW w:w="700" w:type="dxa"/>
            <w:tcBorders>
              <w:top w:val="single" w:sz="4" w:space="0" w:color="auto"/>
              <w:left w:val="nil"/>
              <w:bottom w:val="single" w:sz="4" w:space="0" w:color="auto"/>
              <w:right w:val="nil"/>
            </w:tcBorders>
            <w:shd w:val="clear" w:color="auto" w:fill="auto"/>
            <w:noWrap/>
            <w:vAlign w:val="bottom"/>
            <w:hideMark/>
          </w:tcPr>
          <w:p w14:paraId="5A7687E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w:t>
            </w:r>
          </w:p>
        </w:tc>
        <w:tc>
          <w:tcPr>
            <w:tcW w:w="700" w:type="dxa"/>
            <w:tcBorders>
              <w:top w:val="single" w:sz="4" w:space="0" w:color="auto"/>
              <w:left w:val="nil"/>
              <w:bottom w:val="single" w:sz="4" w:space="0" w:color="auto"/>
              <w:right w:val="nil"/>
            </w:tcBorders>
            <w:shd w:val="clear" w:color="auto" w:fill="auto"/>
            <w:noWrap/>
            <w:vAlign w:val="bottom"/>
            <w:hideMark/>
          </w:tcPr>
          <w:p w14:paraId="1047DF7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6.7</w:t>
            </w:r>
          </w:p>
        </w:tc>
        <w:tc>
          <w:tcPr>
            <w:tcW w:w="852" w:type="dxa"/>
            <w:tcBorders>
              <w:top w:val="single" w:sz="4" w:space="0" w:color="auto"/>
              <w:left w:val="nil"/>
              <w:bottom w:val="single" w:sz="4" w:space="0" w:color="auto"/>
              <w:right w:val="nil"/>
            </w:tcBorders>
            <w:shd w:val="clear" w:color="auto" w:fill="auto"/>
            <w:noWrap/>
            <w:vAlign w:val="bottom"/>
            <w:hideMark/>
          </w:tcPr>
          <w:p w14:paraId="305597F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15.9</w:t>
            </w:r>
          </w:p>
        </w:tc>
        <w:tc>
          <w:tcPr>
            <w:tcW w:w="700" w:type="dxa"/>
            <w:tcBorders>
              <w:top w:val="single" w:sz="4" w:space="0" w:color="auto"/>
              <w:left w:val="nil"/>
              <w:bottom w:val="single" w:sz="4" w:space="0" w:color="auto"/>
              <w:right w:val="nil"/>
            </w:tcBorders>
            <w:shd w:val="clear" w:color="auto" w:fill="auto"/>
            <w:noWrap/>
            <w:vAlign w:val="bottom"/>
            <w:hideMark/>
          </w:tcPr>
          <w:p w14:paraId="5EB3217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34.0</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1916AF9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35.5</w:t>
            </w:r>
          </w:p>
        </w:tc>
      </w:tr>
      <w:tr w:rsidR="005B2585" w:rsidRPr="007C740F" w14:paraId="1BC8E828" w14:textId="77777777" w:rsidTr="00D80C87">
        <w:trPr>
          <w:trHeight w:val="255"/>
          <w:jc w:val="center"/>
        </w:trPr>
        <w:tc>
          <w:tcPr>
            <w:tcW w:w="2100" w:type="dxa"/>
            <w:tcBorders>
              <w:top w:val="single" w:sz="4" w:space="0" w:color="auto"/>
              <w:left w:val="single" w:sz="4" w:space="0" w:color="auto"/>
              <w:bottom w:val="double" w:sz="6" w:space="0" w:color="auto"/>
              <w:right w:val="single" w:sz="4" w:space="0" w:color="auto"/>
            </w:tcBorders>
            <w:shd w:val="clear" w:color="auto" w:fill="auto"/>
            <w:noWrap/>
            <w:vAlign w:val="bottom"/>
          </w:tcPr>
          <w:p w14:paraId="13F3FD7A"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p>
        </w:tc>
        <w:tc>
          <w:tcPr>
            <w:tcW w:w="827" w:type="dxa"/>
            <w:tcBorders>
              <w:top w:val="single" w:sz="4" w:space="0" w:color="auto"/>
              <w:left w:val="nil"/>
              <w:bottom w:val="double" w:sz="6" w:space="0" w:color="auto"/>
              <w:right w:val="single" w:sz="4" w:space="0" w:color="auto"/>
            </w:tcBorders>
            <w:shd w:val="clear" w:color="auto" w:fill="auto"/>
            <w:noWrap/>
            <w:vAlign w:val="bottom"/>
          </w:tcPr>
          <w:p w14:paraId="124FDCA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1CCFE5E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6EB2B6F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2" w:type="dxa"/>
            <w:tcBorders>
              <w:top w:val="single" w:sz="4" w:space="0" w:color="auto"/>
              <w:left w:val="nil"/>
              <w:bottom w:val="double" w:sz="6" w:space="0" w:color="auto"/>
              <w:right w:val="nil"/>
            </w:tcBorders>
            <w:shd w:val="clear" w:color="auto" w:fill="auto"/>
            <w:noWrap/>
            <w:vAlign w:val="bottom"/>
          </w:tcPr>
          <w:p w14:paraId="5921ED7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single" w:sz="4" w:space="0" w:color="auto"/>
              <w:bottom w:val="double" w:sz="6" w:space="0" w:color="auto"/>
              <w:right w:val="nil"/>
            </w:tcBorders>
            <w:shd w:val="clear" w:color="auto" w:fill="auto"/>
            <w:noWrap/>
            <w:vAlign w:val="bottom"/>
          </w:tcPr>
          <w:p w14:paraId="05A07A1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7878F8E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53F2B93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852" w:type="dxa"/>
            <w:tcBorders>
              <w:top w:val="single" w:sz="4" w:space="0" w:color="auto"/>
              <w:left w:val="nil"/>
              <w:bottom w:val="double" w:sz="6" w:space="0" w:color="auto"/>
              <w:right w:val="nil"/>
            </w:tcBorders>
            <w:shd w:val="clear" w:color="auto" w:fill="auto"/>
            <w:noWrap/>
            <w:vAlign w:val="bottom"/>
          </w:tcPr>
          <w:p w14:paraId="21B895C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4157A7F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2" w:type="dxa"/>
            <w:tcBorders>
              <w:top w:val="single" w:sz="4" w:space="0" w:color="auto"/>
              <w:left w:val="nil"/>
              <w:bottom w:val="double" w:sz="6" w:space="0" w:color="auto"/>
              <w:right w:val="single" w:sz="4" w:space="0" w:color="auto"/>
            </w:tcBorders>
            <w:shd w:val="clear" w:color="auto" w:fill="auto"/>
            <w:noWrap/>
            <w:vAlign w:val="bottom"/>
          </w:tcPr>
          <w:p w14:paraId="5AD4C94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3039F13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39E6ED8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6B33DA4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852" w:type="dxa"/>
            <w:tcBorders>
              <w:top w:val="single" w:sz="4" w:space="0" w:color="auto"/>
              <w:left w:val="nil"/>
              <w:bottom w:val="double" w:sz="6" w:space="0" w:color="auto"/>
              <w:right w:val="nil"/>
            </w:tcBorders>
            <w:shd w:val="clear" w:color="auto" w:fill="auto"/>
            <w:noWrap/>
            <w:vAlign w:val="bottom"/>
          </w:tcPr>
          <w:p w14:paraId="3F4A3F3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0" w:type="dxa"/>
            <w:tcBorders>
              <w:top w:val="single" w:sz="4" w:space="0" w:color="auto"/>
              <w:left w:val="nil"/>
              <w:bottom w:val="double" w:sz="6" w:space="0" w:color="auto"/>
              <w:right w:val="nil"/>
            </w:tcBorders>
            <w:shd w:val="clear" w:color="auto" w:fill="auto"/>
            <w:noWrap/>
            <w:vAlign w:val="bottom"/>
          </w:tcPr>
          <w:p w14:paraId="1E6733D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c>
          <w:tcPr>
            <w:tcW w:w="702" w:type="dxa"/>
            <w:tcBorders>
              <w:top w:val="single" w:sz="4" w:space="0" w:color="auto"/>
              <w:left w:val="nil"/>
              <w:bottom w:val="double" w:sz="6" w:space="0" w:color="auto"/>
              <w:right w:val="single" w:sz="4" w:space="0" w:color="auto"/>
            </w:tcBorders>
            <w:shd w:val="clear" w:color="auto" w:fill="auto"/>
            <w:noWrap/>
            <w:vAlign w:val="bottom"/>
          </w:tcPr>
          <w:p w14:paraId="783B737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p>
        </w:tc>
      </w:tr>
    </w:tbl>
    <w:p w14:paraId="77AAFDF5" w14:textId="77777777" w:rsidR="005B2585" w:rsidRPr="007C740F" w:rsidRDefault="005B2585" w:rsidP="005B2585">
      <w:pPr>
        <w:pStyle w:val="BodyText1"/>
      </w:pPr>
    </w:p>
    <w:p w14:paraId="0C6FB4E8" w14:textId="46EBA565" w:rsidR="00A1475E" w:rsidRPr="007C740F" w:rsidRDefault="00A1475E" w:rsidP="005B2585">
      <w:pPr>
        <w:pStyle w:val="BodyText1"/>
      </w:pPr>
      <w:r w:rsidRPr="007C740F">
        <w:t>Table 2. Bundled groups as per Table 1.</w:t>
      </w:r>
    </w:p>
    <w:tbl>
      <w:tblPr>
        <w:tblW w:w="12897" w:type="dxa"/>
        <w:jc w:val="center"/>
        <w:tblLook w:val="04A0" w:firstRow="1" w:lastRow="0" w:firstColumn="1" w:lastColumn="0" w:noHBand="0" w:noVBand="1"/>
      </w:tblPr>
      <w:tblGrid>
        <w:gridCol w:w="2158"/>
        <w:gridCol w:w="827"/>
        <w:gridCol w:w="642"/>
        <w:gridCol w:w="642"/>
        <w:gridCol w:w="702"/>
        <w:gridCol w:w="564"/>
        <w:gridCol w:w="562"/>
        <w:gridCol w:w="642"/>
        <w:gridCol w:w="852"/>
        <w:gridCol w:w="642"/>
        <w:gridCol w:w="702"/>
        <w:gridCol w:w="564"/>
        <w:gridCol w:w="560"/>
        <w:gridCol w:w="642"/>
        <w:gridCol w:w="852"/>
        <w:gridCol w:w="642"/>
        <w:gridCol w:w="702"/>
      </w:tblGrid>
      <w:tr w:rsidR="005B2585" w:rsidRPr="007C740F" w14:paraId="004D2D87" w14:textId="77777777" w:rsidTr="00D80C87">
        <w:trPr>
          <w:trHeight w:val="720"/>
          <w:jc w:val="center"/>
        </w:trPr>
        <w:tc>
          <w:tcPr>
            <w:tcW w:w="2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DA3C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World</w:t>
            </w:r>
          </w:p>
        </w:tc>
        <w:tc>
          <w:tcPr>
            <w:tcW w:w="827" w:type="dxa"/>
            <w:tcBorders>
              <w:top w:val="single" w:sz="4" w:space="0" w:color="auto"/>
              <w:left w:val="nil"/>
              <w:bottom w:val="single" w:sz="4" w:space="0" w:color="auto"/>
              <w:right w:val="single" w:sz="4" w:space="0" w:color="auto"/>
            </w:tcBorders>
            <w:shd w:val="clear" w:color="auto" w:fill="auto"/>
            <w:vAlign w:val="bottom"/>
            <w:hideMark/>
          </w:tcPr>
          <w:p w14:paraId="52E1DCC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Baseline B /1,000</w:t>
            </w:r>
          </w:p>
        </w:tc>
        <w:tc>
          <w:tcPr>
            <w:tcW w:w="642" w:type="dxa"/>
            <w:tcBorders>
              <w:top w:val="single" w:sz="4" w:space="0" w:color="auto"/>
              <w:left w:val="nil"/>
              <w:bottom w:val="single" w:sz="4" w:space="0" w:color="auto"/>
              <w:right w:val="nil"/>
            </w:tcBorders>
            <w:shd w:val="clear" w:color="auto" w:fill="auto"/>
            <w:vAlign w:val="bottom"/>
            <w:hideMark/>
          </w:tcPr>
          <w:p w14:paraId="3DE0322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642" w:type="dxa"/>
            <w:tcBorders>
              <w:top w:val="single" w:sz="4" w:space="0" w:color="auto"/>
              <w:left w:val="nil"/>
              <w:bottom w:val="single" w:sz="4" w:space="0" w:color="auto"/>
              <w:right w:val="nil"/>
            </w:tcBorders>
            <w:shd w:val="clear" w:color="auto" w:fill="auto"/>
            <w:vAlign w:val="bottom"/>
            <w:hideMark/>
          </w:tcPr>
          <w:p w14:paraId="5CF2182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nil"/>
            </w:tcBorders>
            <w:shd w:val="clear" w:color="auto" w:fill="auto"/>
            <w:vAlign w:val="bottom"/>
            <w:hideMark/>
          </w:tcPr>
          <w:p w14:paraId="4E9488C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c>
          <w:tcPr>
            <w:tcW w:w="564" w:type="dxa"/>
            <w:tcBorders>
              <w:top w:val="single" w:sz="4" w:space="0" w:color="auto"/>
              <w:left w:val="single" w:sz="4" w:space="0" w:color="auto"/>
              <w:bottom w:val="single" w:sz="4" w:space="0" w:color="auto"/>
              <w:right w:val="nil"/>
            </w:tcBorders>
            <w:shd w:val="clear" w:color="auto" w:fill="auto"/>
            <w:vAlign w:val="bottom"/>
            <w:hideMark/>
          </w:tcPr>
          <w:p w14:paraId="334FE52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Pre-</w:t>
            </w:r>
            <w:proofErr w:type="spellStart"/>
            <w:r w:rsidRPr="007C740F">
              <w:rPr>
                <w:rFonts w:ascii="Calibri" w:eastAsia="Times New Roman" w:hAnsi="Calibri" w:cs="Calibri"/>
                <w:color w:val="000000"/>
                <w:sz w:val="18"/>
                <w:szCs w:val="18"/>
                <w:lang w:eastAsia="en-GB"/>
              </w:rPr>
              <w:t>preg</w:t>
            </w:r>
            <w:proofErr w:type="spellEnd"/>
            <w:r w:rsidRPr="007C740F">
              <w:rPr>
                <w:rFonts w:ascii="Calibri" w:eastAsia="Times New Roman" w:hAnsi="Calibri" w:cs="Calibri"/>
                <w:color w:val="000000"/>
                <w:sz w:val="18"/>
                <w:szCs w:val="18"/>
                <w:lang w:eastAsia="en-GB"/>
              </w:rPr>
              <w:t xml:space="preserve"> </w:t>
            </w:r>
            <w:proofErr w:type="spellStart"/>
            <w:r w:rsidRPr="007C740F">
              <w:rPr>
                <w:rFonts w:ascii="Calibri" w:eastAsia="Times New Roman" w:hAnsi="Calibri" w:cs="Calibri"/>
                <w:color w:val="000000"/>
                <w:sz w:val="18"/>
                <w:szCs w:val="18"/>
                <w:lang w:eastAsia="en-GB"/>
              </w:rPr>
              <w:t>redn</w:t>
            </w:r>
            <w:proofErr w:type="spellEnd"/>
          </w:p>
        </w:tc>
        <w:tc>
          <w:tcPr>
            <w:tcW w:w="562" w:type="dxa"/>
            <w:tcBorders>
              <w:top w:val="single" w:sz="4" w:space="0" w:color="auto"/>
              <w:left w:val="nil"/>
              <w:bottom w:val="single" w:sz="4" w:space="0" w:color="auto"/>
              <w:right w:val="nil"/>
            </w:tcBorders>
            <w:shd w:val="clear" w:color="auto" w:fill="auto"/>
            <w:vAlign w:val="bottom"/>
            <w:hideMark/>
          </w:tcPr>
          <w:p w14:paraId="1B16DF1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TOP</w:t>
            </w:r>
          </w:p>
        </w:tc>
        <w:tc>
          <w:tcPr>
            <w:tcW w:w="642" w:type="dxa"/>
            <w:tcBorders>
              <w:top w:val="single" w:sz="4" w:space="0" w:color="auto"/>
              <w:left w:val="nil"/>
              <w:bottom w:val="single" w:sz="4" w:space="0" w:color="auto"/>
              <w:right w:val="nil"/>
            </w:tcBorders>
            <w:shd w:val="clear" w:color="auto" w:fill="auto"/>
            <w:vAlign w:val="bottom"/>
            <w:hideMark/>
          </w:tcPr>
          <w:p w14:paraId="577A1C1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852" w:type="dxa"/>
            <w:tcBorders>
              <w:top w:val="single" w:sz="4" w:space="0" w:color="auto"/>
              <w:left w:val="nil"/>
              <w:bottom w:val="single" w:sz="4" w:space="0" w:color="auto"/>
              <w:right w:val="nil"/>
            </w:tcBorders>
            <w:shd w:val="clear" w:color="auto" w:fill="auto"/>
            <w:vAlign w:val="bottom"/>
            <w:hideMark/>
          </w:tcPr>
          <w:p w14:paraId="0295C12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Effective cure</w:t>
            </w:r>
          </w:p>
        </w:tc>
        <w:tc>
          <w:tcPr>
            <w:tcW w:w="642" w:type="dxa"/>
            <w:tcBorders>
              <w:top w:val="single" w:sz="4" w:space="0" w:color="auto"/>
              <w:left w:val="nil"/>
              <w:bottom w:val="single" w:sz="4" w:space="0" w:color="auto"/>
              <w:right w:val="nil"/>
            </w:tcBorders>
            <w:shd w:val="clear" w:color="auto" w:fill="auto"/>
            <w:vAlign w:val="bottom"/>
            <w:hideMark/>
          </w:tcPr>
          <w:p w14:paraId="461EF01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nil"/>
            </w:tcBorders>
            <w:shd w:val="clear" w:color="auto" w:fill="auto"/>
            <w:vAlign w:val="bottom"/>
            <w:hideMark/>
          </w:tcPr>
          <w:p w14:paraId="2BEDB22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c>
          <w:tcPr>
            <w:tcW w:w="564" w:type="dxa"/>
            <w:tcBorders>
              <w:top w:val="single" w:sz="4" w:space="0" w:color="auto"/>
              <w:left w:val="single" w:sz="4" w:space="0" w:color="auto"/>
              <w:bottom w:val="single" w:sz="4" w:space="0" w:color="auto"/>
              <w:right w:val="nil"/>
            </w:tcBorders>
            <w:shd w:val="clear" w:color="auto" w:fill="auto"/>
            <w:vAlign w:val="bottom"/>
            <w:hideMark/>
          </w:tcPr>
          <w:p w14:paraId="58D815B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Pre-</w:t>
            </w:r>
            <w:proofErr w:type="spellStart"/>
            <w:r w:rsidRPr="007C740F">
              <w:rPr>
                <w:rFonts w:ascii="Calibri" w:eastAsia="Times New Roman" w:hAnsi="Calibri" w:cs="Calibri"/>
                <w:color w:val="000000"/>
                <w:sz w:val="18"/>
                <w:szCs w:val="18"/>
                <w:lang w:eastAsia="en-GB"/>
              </w:rPr>
              <w:t>preg</w:t>
            </w:r>
            <w:proofErr w:type="spellEnd"/>
            <w:r w:rsidRPr="007C740F">
              <w:rPr>
                <w:rFonts w:ascii="Calibri" w:eastAsia="Times New Roman" w:hAnsi="Calibri" w:cs="Calibri"/>
                <w:color w:val="000000"/>
                <w:sz w:val="18"/>
                <w:szCs w:val="18"/>
                <w:lang w:eastAsia="en-GB"/>
              </w:rPr>
              <w:t xml:space="preserve"> </w:t>
            </w:r>
            <w:proofErr w:type="spellStart"/>
            <w:r w:rsidRPr="007C740F">
              <w:rPr>
                <w:rFonts w:ascii="Calibri" w:eastAsia="Times New Roman" w:hAnsi="Calibri" w:cs="Calibri"/>
                <w:color w:val="000000"/>
                <w:sz w:val="18"/>
                <w:szCs w:val="18"/>
                <w:lang w:eastAsia="en-GB"/>
              </w:rPr>
              <w:t>redn</w:t>
            </w:r>
            <w:proofErr w:type="spellEnd"/>
          </w:p>
        </w:tc>
        <w:tc>
          <w:tcPr>
            <w:tcW w:w="560" w:type="dxa"/>
            <w:tcBorders>
              <w:top w:val="single" w:sz="4" w:space="0" w:color="auto"/>
              <w:left w:val="nil"/>
              <w:bottom w:val="single" w:sz="4" w:space="0" w:color="auto"/>
              <w:right w:val="nil"/>
            </w:tcBorders>
            <w:shd w:val="clear" w:color="auto" w:fill="auto"/>
            <w:vAlign w:val="bottom"/>
            <w:hideMark/>
          </w:tcPr>
          <w:p w14:paraId="74C643B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TOP</w:t>
            </w:r>
          </w:p>
        </w:tc>
        <w:tc>
          <w:tcPr>
            <w:tcW w:w="642" w:type="dxa"/>
            <w:tcBorders>
              <w:top w:val="single" w:sz="4" w:space="0" w:color="auto"/>
              <w:left w:val="nil"/>
              <w:bottom w:val="single" w:sz="4" w:space="0" w:color="auto"/>
              <w:right w:val="nil"/>
            </w:tcBorders>
            <w:shd w:val="clear" w:color="auto" w:fill="auto"/>
            <w:vAlign w:val="bottom"/>
            <w:hideMark/>
          </w:tcPr>
          <w:p w14:paraId="7520470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Fetal death</w:t>
            </w:r>
          </w:p>
        </w:tc>
        <w:tc>
          <w:tcPr>
            <w:tcW w:w="852" w:type="dxa"/>
            <w:tcBorders>
              <w:top w:val="single" w:sz="4" w:space="0" w:color="auto"/>
              <w:left w:val="nil"/>
              <w:bottom w:val="single" w:sz="4" w:space="0" w:color="auto"/>
              <w:right w:val="nil"/>
            </w:tcBorders>
            <w:shd w:val="clear" w:color="auto" w:fill="auto"/>
            <w:vAlign w:val="bottom"/>
            <w:hideMark/>
          </w:tcPr>
          <w:p w14:paraId="7250B98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Effective cure</w:t>
            </w:r>
          </w:p>
        </w:tc>
        <w:tc>
          <w:tcPr>
            <w:tcW w:w="642" w:type="dxa"/>
            <w:tcBorders>
              <w:top w:val="single" w:sz="4" w:space="0" w:color="auto"/>
              <w:left w:val="nil"/>
              <w:bottom w:val="single" w:sz="4" w:space="0" w:color="auto"/>
              <w:right w:val="nil"/>
            </w:tcBorders>
            <w:shd w:val="clear" w:color="auto" w:fill="auto"/>
            <w:vAlign w:val="bottom"/>
            <w:hideMark/>
          </w:tcPr>
          <w:p w14:paraId="1DE9FA2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U-5 death</w:t>
            </w:r>
          </w:p>
        </w:tc>
        <w:tc>
          <w:tcPr>
            <w:tcW w:w="702" w:type="dxa"/>
            <w:tcBorders>
              <w:top w:val="single" w:sz="4" w:space="0" w:color="auto"/>
              <w:left w:val="nil"/>
              <w:bottom w:val="single" w:sz="4" w:space="0" w:color="auto"/>
              <w:right w:val="single" w:sz="4" w:space="0" w:color="auto"/>
            </w:tcBorders>
            <w:shd w:val="clear" w:color="auto" w:fill="auto"/>
            <w:vAlign w:val="bottom"/>
            <w:hideMark/>
          </w:tcPr>
          <w:p w14:paraId="342EBE7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Disabil @ 5 yr</w:t>
            </w:r>
          </w:p>
        </w:tc>
      </w:tr>
      <w:tr w:rsidR="005B2585" w:rsidRPr="007C740F" w14:paraId="0B4EFC4D" w14:textId="77777777" w:rsidTr="00D80C87">
        <w:trPr>
          <w:trHeight w:val="720"/>
          <w:jc w:val="center"/>
        </w:trPr>
        <w:tc>
          <w:tcPr>
            <w:tcW w:w="2158" w:type="dxa"/>
            <w:tcBorders>
              <w:top w:val="nil"/>
              <w:left w:val="single" w:sz="4" w:space="0" w:color="auto"/>
              <w:bottom w:val="nil"/>
              <w:right w:val="single" w:sz="4" w:space="0" w:color="auto"/>
            </w:tcBorders>
            <w:shd w:val="clear" w:color="auto" w:fill="auto"/>
            <w:vAlign w:val="bottom"/>
            <w:hideMark/>
          </w:tcPr>
          <w:p w14:paraId="2BD84F2A"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chromosomal</w:t>
            </w:r>
          </w:p>
        </w:tc>
        <w:tc>
          <w:tcPr>
            <w:tcW w:w="827" w:type="dxa"/>
            <w:tcBorders>
              <w:top w:val="nil"/>
              <w:left w:val="nil"/>
              <w:bottom w:val="nil"/>
              <w:right w:val="single" w:sz="4" w:space="0" w:color="auto"/>
            </w:tcBorders>
            <w:shd w:val="clear" w:color="auto" w:fill="auto"/>
            <w:vAlign w:val="bottom"/>
            <w:hideMark/>
          </w:tcPr>
          <w:p w14:paraId="2461BDC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4.52</w:t>
            </w:r>
          </w:p>
        </w:tc>
        <w:tc>
          <w:tcPr>
            <w:tcW w:w="642" w:type="dxa"/>
            <w:tcBorders>
              <w:top w:val="nil"/>
              <w:left w:val="nil"/>
              <w:bottom w:val="nil"/>
              <w:right w:val="nil"/>
            </w:tcBorders>
            <w:shd w:val="clear" w:color="auto" w:fill="auto"/>
            <w:noWrap/>
            <w:vAlign w:val="bottom"/>
            <w:hideMark/>
          </w:tcPr>
          <w:p w14:paraId="54BB248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13.9</w:t>
            </w:r>
          </w:p>
        </w:tc>
        <w:tc>
          <w:tcPr>
            <w:tcW w:w="642" w:type="dxa"/>
            <w:tcBorders>
              <w:top w:val="nil"/>
              <w:left w:val="nil"/>
              <w:bottom w:val="nil"/>
              <w:right w:val="nil"/>
            </w:tcBorders>
            <w:shd w:val="clear" w:color="auto" w:fill="auto"/>
            <w:noWrap/>
            <w:vAlign w:val="bottom"/>
            <w:hideMark/>
          </w:tcPr>
          <w:p w14:paraId="2A75650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42.9</w:t>
            </w:r>
          </w:p>
        </w:tc>
        <w:tc>
          <w:tcPr>
            <w:tcW w:w="702" w:type="dxa"/>
            <w:tcBorders>
              <w:top w:val="nil"/>
              <w:left w:val="nil"/>
              <w:bottom w:val="nil"/>
              <w:right w:val="nil"/>
            </w:tcBorders>
            <w:shd w:val="clear" w:color="auto" w:fill="auto"/>
            <w:noWrap/>
            <w:vAlign w:val="bottom"/>
            <w:hideMark/>
          </w:tcPr>
          <w:p w14:paraId="74B26FE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42.3</w:t>
            </w:r>
          </w:p>
        </w:tc>
        <w:tc>
          <w:tcPr>
            <w:tcW w:w="564" w:type="dxa"/>
            <w:tcBorders>
              <w:top w:val="nil"/>
              <w:left w:val="single" w:sz="4" w:space="0" w:color="auto"/>
              <w:bottom w:val="nil"/>
              <w:right w:val="nil"/>
            </w:tcBorders>
            <w:shd w:val="clear" w:color="auto" w:fill="auto"/>
            <w:noWrap/>
            <w:vAlign w:val="bottom"/>
            <w:hideMark/>
          </w:tcPr>
          <w:p w14:paraId="7C7CA68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562" w:type="dxa"/>
            <w:tcBorders>
              <w:top w:val="nil"/>
              <w:left w:val="nil"/>
              <w:bottom w:val="nil"/>
              <w:right w:val="nil"/>
            </w:tcBorders>
            <w:shd w:val="clear" w:color="auto" w:fill="auto"/>
            <w:noWrap/>
            <w:vAlign w:val="bottom"/>
            <w:hideMark/>
          </w:tcPr>
          <w:p w14:paraId="550D2AD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48.3</w:t>
            </w:r>
          </w:p>
        </w:tc>
        <w:tc>
          <w:tcPr>
            <w:tcW w:w="642" w:type="dxa"/>
            <w:tcBorders>
              <w:top w:val="nil"/>
              <w:left w:val="nil"/>
              <w:bottom w:val="nil"/>
              <w:right w:val="nil"/>
            </w:tcBorders>
            <w:shd w:val="clear" w:color="auto" w:fill="auto"/>
            <w:noWrap/>
            <w:vAlign w:val="bottom"/>
            <w:hideMark/>
          </w:tcPr>
          <w:p w14:paraId="75312A9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5.5</w:t>
            </w:r>
          </w:p>
        </w:tc>
        <w:tc>
          <w:tcPr>
            <w:tcW w:w="852" w:type="dxa"/>
            <w:tcBorders>
              <w:top w:val="nil"/>
              <w:left w:val="nil"/>
              <w:bottom w:val="nil"/>
              <w:right w:val="nil"/>
            </w:tcBorders>
            <w:shd w:val="clear" w:color="auto" w:fill="auto"/>
            <w:noWrap/>
            <w:vAlign w:val="bottom"/>
            <w:hideMark/>
          </w:tcPr>
          <w:p w14:paraId="7A3B83F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5842CC6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w:t>
            </w:r>
          </w:p>
        </w:tc>
        <w:tc>
          <w:tcPr>
            <w:tcW w:w="702" w:type="dxa"/>
            <w:tcBorders>
              <w:top w:val="nil"/>
              <w:left w:val="nil"/>
              <w:bottom w:val="nil"/>
              <w:right w:val="single" w:sz="4" w:space="0" w:color="auto"/>
            </w:tcBorders>
            <w:shd w:val="clear" w:color="auto" w:fill="auto"/>
            <w:noWrap/>
            <w:vAlign w:val="bottom"/>
            <w:hideMark/>
          </w:tcPr>
          <w:p w14:paraId="15A7BF3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40.5</w:t>
            </w:r>
          </w:p>
        </w:tc>
        <w:tc>
          <w:tcPr>
            <w:tcW w:w="564" w:type="dxa"/>
            <w:tcBorders>
              <w:top w:val="nil"/>
              <w:left w:val="nil"/>
              <w:bottom w:val="nil"/>
              <w:right w:val="nil"/>
            </w:tcBorders>
            <w:shd w:val="clear" w:color="auto" w:fill="auto"/>
            <w:noWrap/>
            <w:vAlign w:val="bottom"/>
            <w:hideMark/>
          </w:tcPr>
          <w:p w14:paraId="5F5F853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560" w:type="dxa"/>
            <w:tcBorders>
              <w:top w:val="nil"/>
              <w:left w:val="nil"/>
              <w:bottom w:val="nil"/>
              <w:right w:val="nil"/>
            </w:tcBorders>
            <w:shd w:val="clear" w:color="auto" w:fill="auto"/>
            <w:noWrap/>
            <w:vAlign w:val="bottom"/>
            <w:hideMark/>
          </w:tcPr>
          <w:p w14:paraId="6E8729F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8.6</w:t>
            </w:r>
          </w:p>
        </w:tc>
        <w:tc>
          <w:tcPr>
            <w:tcW w:w="642" w:type="dxa"/>
            <w:tcBorders>
              <w:top w:val="nil"/>
              <w:left w:val="nil"/>
              <w:bottom w:val="nil"/>
              <w:right w:val="nil"/>
            </w:tcBorders>
            <w:shd w:val="clear" w:color="auto" w:fill="auto"/>
            <w:noWrap/>
            <w:vAlign w:val="bottom"/>
            <w:hideMark/>
          </w:tcPr>
          <w:p w14:paraId="5262848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14.2</w:t>
            </w:r>
          </w:p>
        </w:tc>
        <w:tc>
          <w:tcPr>
            <w:tcW w:w="852" w:type="dxa"/>
            <w:tcBorders>
              <w:top w:val="nil"/>
              <w:left w:val="nil"/>
              <w:bottom w:val="nil"/>
              <w:right w:val="nil"/>
            </w:tcBorders>
            <w:shd w:val="clear" w:color="auto" w:fill="auto"/>
            <w:noWrap/>
            <w:vAlign w:val="bottom"/>
            <w:hideMark/>
          </w:tcPr>
          <w:p w14:paraId="28843DE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7447026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24.8</w:t>
            </w:r>
          </w:p>
        </w:tc>
        <w:tc>
          <w:tcPr>
            <w:tcW w:w="702" w:type="dxa"/>
            <w:tcBorders>
              <w:top w:val="nil"/>
              <w:left w:val="nil"/>
              <w:bottom w:val="nil"/>
              <w:right w:val="single" w:sz="4" w:space="0" w:color="auto"/>
            </w:tcBorders>
            <w:shd w:val="clear" w:color="auto" w:fill="auto"/>
            <w:noWrap/>
            <w:vAlign w:val="bottom"/>
            <w:hideMark/>
          </w:tcPr>
          <w:p w14:paraId="6335356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50.5</w:t>
            </w:r>
          </w:p>
        </w:tc>
      </w:tr>
      <w:tr w:rsidR="005B2585" w:rsidRPr="007C740F" w14:paraId="430F7D7C" w14:textId="77777777" w:rsidTr="00D80C87">
        <w:trPr>
          <w:trHeight w:val="240"/>
          <w:jc w:val="center"/>
        </w:trPr>
        <w:tc>
          <w:tcPr>
            <w:tcW w:w="2158" w:type="dxa"/>
            <w:tcBorders>
              <w:top w:val="nil"/>
              <w:left w:val="single" w:sz="4" w:space="0" w:color="auto"/>
              <w:bottom w:val="nil"/>
              <w:right w:val="single" w:sz="4" w:space="0" w:color="auto"/>
            </w:tcBorders>
            <w:shd w:val="clear" w:color="auto" w:fill="auto"/>
            <w:vAlign w:val="bottom"/>
            <w:hideMark/>
          </w:tcPr>
          <w:p w14:paraId="7031D2D0"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malformations</w:t>
            </w:r>
          </w:p>
        </w:tc>
        <w:tc>
          <w:tcPr>
            <w:tcW w:w="827" w:type="dxa"/>
            <w:tcBorders>
              <w:top w:val="nil"/>
              <w:left w:val="nil"/>
              <w:bottom w:val="nil"/>
              <w:right w:val="single" w:sz="4" w:space="0" w:color="auto"/>
            </w:tcBorders>
            <w:shd w:val="clear" w:color="auto" w:fill="auto"/>
            <w:noWrap/>
            <w:vAlign w:val="bottom"/>
            <w:hideMark/>
          </w:tcPr>
          <w:p w14:paraId="4271624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20.54</w:t>
            </w:r>
          </w:p>
        </w:tc>
        <w:tc>
          <w:tcPr>
            <w:tcW w:w="642" w:type="dxa"/>
            <w:tcBorders>
              <w:top w:val="nil"/>
              <w:left w:val="nil"/>
              <w:bottom w:val="nil"/>
              <w:right w:val="nil"/>
            </w:tcBorders>
            <w:shd w:val="clear" w:color="auto" w:fill="auto"/>
            <w:noWrap/>
            <w:vAlign w:val="bottom"/>
            <w:hideMark/>
          </w:tcPr>
          <w:p w14:paraId="12D4539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4.1</w:t>
            </w:r>
          </w:p>
        </w:tc>
        <w:tc>
          <w:tcPr>
            <w:tcW w:w="642" w:type="dxa"/>
            <w:tcBorders>
              <w:top w:val="nil"/>
              <w:left w:val="nil"/>
              <w:bottom w:val="nil"/>
              <w:right w:val="nil"/>
            </w:tcBorders>
            <w:shd w:val="clear" w:color="auto" w:fill="auto"/>
            <w:noWrap/>
            <w:vAlign w:val="bottom"/>
            <w:hideMark/>
          </w:tcPr>
          <w:p w14:paraId="76970C0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60.7</w:t>
            </w:r>
          </w:p>
        </w:tc>
        <w:tc>
          <w:tcPr>
            <w:tcW w:w="702" w:type="dxa"/>
            <w:tcBorders>
              <w:top w:val="nil"/>
              <w:left w:val="nil"/>
              <w:bottom w:val="nil"/>
              <w:right w:val="nil"/>
            </w:tcBorders>
            <w:shd w:val="clear" w:color="auto" w:fill="auto"/>
            <w:noWrap/>
            <w:vAlign w:val="bottom"/>
            <w:hideMark/>
          </w:tcPr>
          <w:p w14:paraId="1BB69D9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33.8</w:t>
            </w:r>
          </w:p>
        </w:tc>
        <w:tc>
          <w:tcPr>
            <w:tcW w:w="564" w:type="dxa"/>
            <w:tcBorders>
              <w:top w:val="nil"/>
              <w:left w:val="single" w:sz="4" w:space="0" w:color="auto"/>
              <w:bottom w:val="nil"/>
              <w:right w:val="nil"/>
            </w:tcBorders>
            <w:shd w:val="clear" w:color="auto" w:fill="auto"/>
            <w:noWrap/>
            <w:vAlign w:val="bottom"/>
            <w:hideMark/>
          </w:tcPr>
          <w:p w14:paraId="47C8E40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10.2</w:t>
            </w:r>
          </w:p>
        </w:tc>
        <w:tc>
          <w:tcPr>
            <w:tcW w:w="562" w:type="dxa"/>
            <w:tcBorders>
              <w:top w:val="nil"/>
              <w:left w:val="nil"/>
              <w:bottom w:val="nil"/>
              <w:right w:val="nil"/>
            </w:tcBorders>
            <w:shd w:val="clear" w:color="auto" w:fill="auto"/>
            <w:noWrap/>
            <w:vAlign w:val="bottom"/>
            <w:hideMark/>
          </w:tcPr>
          <w:p w14:paraId="00E1AF0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9.2</w:t>
            </w:r>
          </w:p>
        </w:tc>
        <w:tc>
          <w:tcPr>
            <w:tcW w:w="642" w:type="dxa"/>
            <w:tcBorders>
              <w:top w:val="nil"/>
              <w:left w:val="nil"/>
              <w:bottom w:val="nil"/>
              <w:right w:val="nil"/>
            </w:tcBorders>
            <w:shd w:val="clear" w:color="auto" w:fill="auto"/>
            <w:noWrap/>
            <w:vAlign w:val="bottom"/>
            <w:hideMark/>
          </w:tcPr>
          <w:p w14:paraId="6D044D0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w:t>
            </w:r>
          </w:p>
        </w:tc>
        <w:tc>
          <w:tcPr>
            <w:tcW w:w="852" w:type="dxa"/>
            <w:tcBorders>
              <w:top w:val="nil"/>
              <w:left w:val="nil"/>
              <w:bottom w:val="nil"/>
              <w:right w:val="nil"/>
            </w:tcBorders>
            <w:shd w:val="clear" w:color="auto" w:fill="auto"/>
            <w:noWrap/>
            <w:vAlign w:val="bottom"/>
            <w:hideMark/>
          </w:tcPr>
          <w:p w14:paraId="590BC2D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61.7</w:t>
            </w:r>
          </w:p>
        </w:tc>
        <w:tc>
          <w:tcPr>
            <w:tcW w:w="642" w:type="dxa"/>
            <w:tcBorders>
              <w:top w:val="nil"/>
              <w:left w:val="nil"/>
              <w:bottom w:val="nil"/>
              <w:right w:val="nil"/>
            </w:tcBorders>
            <w:shd w:val="clear" w:color="auto" w:fill="auto"/>
            <w:noWrap/>
            <w:vAlign w:val="bottom"/>
            <w:hideMark/>
          </w:tcPr>
          <w:p w14:paraId="333E611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w:t>
            </w:r>
          </w:p>
        </w:tc>
        <w:tc>
          <w:tcPr>
            <w:tcW w:w="702" w:type="dxa"/>
            <w:tcBorders>
              <w:top w:val="nil"/>
              <w:left w:val="nil"/>
              <w:bottom w:val="nil"/>
              <w:right w:val="single" w:sz="4" w:space="0" w:color="auto"/>
            </w:tcBorders>
            <w:shd w:val="clear" w:color="auto" w:fill="auto"/>
            <w:noWrap/>
            <w:vAlign w:val="bottom"/>
            <w:hideMark/>
          </w:tcPr>
          <w:p w14:paraId="7B1F5E8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15.1</w:t>
            </w:r>
          </w:p>
        </w:tc>
        <w:tc>
          <w:tcPr>
            <w:tcW w:w="564" w:type="dxa"/>
            <w:tcBorders>
              <w:top w:val="nil"/>
              <w:left w:val="nil"/>
              <w:bottom w:val="nil"/>
              <w:right w:val="nil"/>
            </w:tcBorders>
            <w:shd w:val="clear" w:color="auto" w:fill="auto"/>
            <w:noWrap/>
            <w:vAlign w:val="bottom"/>
            <w:hideMark/>
          </w:tcPr>
          <w:p w14:paraId="7D7B7E6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2.3</w:t>
            </w:r>
          </w:p>
        </w:tc>
        <w:tc>
          <w:tcPr>
            <w:tcW w:w="560" w:type="dxa"/>
            <w:tcBorders>
              <w:top w:val="nil"/>
              <w:left w:val="nil"/>
              <w:bottom w:val="nil"/>
              <w:right w:val="nil"/>
            </w:tcBorders>
            <w:shd w:val="clear" w:color="auto" w:fill="auto"/>
            <w:noWrap/>
            <w:vAlign w:val="bottom"/>
            <w:hideMark/>
          </w:tcPr>
          <w:p w14:paraId="05ADD36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w:t>
            </w:r>
          </w:p>
        </w:tc>
        <w:tc>
          <w:tcPr>
            <w:tcW w:w="642" w:type="dxa"/>
            <w:tcBorders>
              <w:top w:val="nil"/>
              <w:left w:val="nil"/>
              <w:bottom w:val="nil"/>
              <w:right w:val="nil"/>
            </w:tcBorders>
            <w:shd w:val="clear" w:color="auto" w:fill="auto"/>
            <w:noWrap/>
            <w:vAlign w:val="bottom"/>
            <w:hideMark/>
          </w:tcPr>
          <w:p w14:paraId="7894962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3.3</w:t>
            </w:r>
          </w:p>
        </w:tc>
        <w:tc>
          <w:tcPr>
            <w:tcW w:w="852" w:type="dxa"/>
            <w:tcBorders>
              <w:top w:val="nil"/>
              <w:left w:val="nil"/>
              <w:bottom w:val="nil"/>
              <w:right w:val="nil"/>
            </w:tcBorders>
            <w:shd w:val="clear" w:color="auto" w:fill="auto"/>
            <w:noWrap/>
            <w:vAlign w:val="bottom"/>
            <w:hideMark/>
          </w:tcPr>
          <w:p w14:paraId="7751075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31.5</w:t>
            </w:r>
          </w:p>
        </w:tc>
        <w:tc>
          <w:tcPr>
            <w:tcW w:w="642" w:type="dxa"/>
            <w:tcBorders>
              <w:top w:val="nil"/>
              <w:left w:val="nil"/>
              <w:bottom w:val="nil"/>
              <w:right w:val="nil"/>
            </w:tcBorders>
            <w:shd w:val="clear" w:color="auto" w:fill="auto"/>
            <w:noWrap/>
            <w:vAlign w:val="bottom"/>
            <w:hideMark/>
          </w:tcPr>
          <w:p w14:paraId="7A92B49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28.5</w:t>
            </w:r>
          </w:p>
        </w:tc>
        <w:tc>
          <w:tcPr>
            <w:tcW w:w="702" w:type="dxa"/>
            <w:tcBorders>
              <w:top w:val="nil"/>
              <w:left w:val="nil"/>
              <w:bottom w:val="nil"/>
              <w:right w:val="single" w:sz="4" w:space="0" w:color="auto"/>
            </w:tcBorders>
            <w:shd w:val="clear" w:color="auto" w:fill="auto"/>
            <w:noWrap/>
            <w:vAlign w:val="bottom"/>
            <w:hideMark/>
          </w:tcPr>
          <w:p w14:paraId="69281DE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30.4</w:t>
            </w:r>
          </w:p>
        </w:tc>
      </w:tr>
      <w:tr w:rsidR="005B2585" w:rsidRPr="007C740F" w14:paraId="4A552EFC" w14:textId="77777777" w:rsidTr="00D80C87">
        <w:trPr>
          <w:trHeight w:val="240"/>
          <w:jc w:val="center"/>
        </w:trPr>
        <w:tc>
          <w:tcPr>
            <w:tcW w:w="2158" w:type="dxa"/>
            <w:tcBorders>
              <w:top w:val="nil"/>
              <w:left w:val="single" w:sz="4" w:space="0" w:color="auto"/>
              <w:bottom w:val="nil"/>
              <w:right w:val="single" w:sz="4" w:space="0" w:color="auto"/>
            </w:tcBorders>
            <w:shd w:val="clear" w:color="auto" w:fill="auto"/>
            <w:vAlign w:val="bottom"/>
            <w:hideMark/>
          </w:tcPr>
          <w:p w14:paraId="444DC6BA"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single gene</w:t>
            </w:r>
          </w:p>
        </w:tc>
        <w:tc>
          <w:tcPr>
            <w:tcW w:w="827" w:type="dxa"/>
            <w:tcBorders>
              <w:top w:val="nil"/>
              <w:left w:val="nil"/>
              <w:bottom w:val="nil"/>
              <w:right w:val="single" w:sz="4" w:space="0" w:color="auto"/>
            </w:tcBorders>
            <w:shd w:val="clear" w:color="auto" w:fill="auto"/>
            <w:vAlign w:val="bottom"/>
            <w:hideMark/>
          </w:tcPr>
          <w:p w14:paraId="76CDAEC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14.33</w:t>
            </w:r>
          </w:p>
        </w:tc>
        <w:tc>
          <w:tcPr>
            <w:tcW w:w="642" w:type="dxa"/>
            <w:tcBorders>
              <w:top w:val="nil"/>
              <w:left w:val="nil"/>
              <w:bottom w:val="nil"/>
              <w:right w:val="nil"/>
            </w:tcBorders>
            <w:shd w:val="clear" w:color="auto" w:fill="auto"/>
            <w:noWrap/>
            <w:vAlign w:val="bottom"/>
            <w:hideMark/>
          </w:tcPr>
          <w:p w14:paraId="4BB5EC2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8.2</w:t>
            </w:r>
          </w:p>
        </w:tc>
        <w:tc>
          <w:tcPr>
            <w:tcW w:w="642" w:type="dxa"/>
            <w:tcBorders>
              <w:top w:val="nil"/>
              <w:left w:val="nil"/>
              <w:bottom w:val="nil"/>
              <w:right w:val="nil"/>
            </w:tcBorders>
            <w:shd w:val="clear" w:color="auto" w:fill="auto"/>
            <w:noWrap/>
            <w:vAlign w:val="bottom"/>
            <w:hideMark/>
          </w:tcPr>
          <w:p w14:paraId="1D310C9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59.4</w:t>
            </w:r>
          </w:p>
        </w:tc>
        <w:tc>
          <w:tcPr>
            <w:tcW w:w="702" w:type="dxa"/>
            <w:tcBorders>
              <w:top w:val="nil"/>
              <w:left w:val="nil"/>
              <w:bottom w:val="nil"/>
              <w:right w:val="nil"/>
            </w:tcBorders>
            <w:shd w:val="clear" w:color="auto" w:fill="auto"/>
            <w:noWrap/>
            <w:vAlign w:val="bottom"/>
            <w:hideMark/>
          </w:tcPr>
          <w:p w14:paraId="7DBD3C8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30.7</w:t>
            </w:r>
          </w:p>
        </w:tc>
        <w:tc>
          <w:tcPr>
            <w:tcW w:w="564" w:type="dxa"/>
            <w:tcBorders>
              <w:top w:val="nil"/>
              <w:left w:val="single" w:sz="4" w:space="0" w:color="auto"/>
              <w:bottom w:val="nil"/>
              <w:right w:val="nil"/>
            </w:tcBorders>
            <w:shd w:val="clear" w:color="auto" w:fill="auto"/>
            <w:noWrap/>
            <w:vAlign w:val="bottom"/>
            <w:hideMark/>
          </w:tcPr>
          <w:p w14:paraId="5FC7AC9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4.4</w:t>
            </w:r>
          </w:p>
        </w:tc>
        <w:tc>
          <w:tcPr>
            <w:tcW w:w="562" w:type="dxa"/>
            <w:tcBorders>
              <w:top w:val="nil"/>
              <w:left w:val="nil"/>
              <w:bottom w:val="nil"/>
              <w:right w:val="nil"/>
            </w:tcBorders>
            <w:shd w:val="clear" w:color="auto" w:fill="auto"/>
            <w:noWrap/>
            <w:vAlign w:val="bottom"/>
            <w:hideMark/>
          </w:tcPr>
          <w:p w14:paraId="0A34AA1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7.2</w:t>
            </w:r>
          </w:p>
        </w:tc>
        <w:tc>
          <w:tcPr>
            <w:tcW w:w="642" w:type="dxa"/>
            <w:tcBorders>
              <w:top w:val="nil"/>
              <w:left w:val="nil"/>
              <w:bottom w:val="nil"/>
              <w:right w:val="nil"/>
            </w:tcBorders>
            <w:shd w:val="clear" w:color="auto" w:fill="auto"/>
            <w:noWrap/>
            <w:vAlign w:val="bottom"/>
            <w:hideMark/>
          </w:tcPr>
          <w:p w14:paraId="216F208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7.6</w:t>
            </w:r>
          </w:p>
        </w:tc>
        <w:tc>
          <w:tcPr>
            <w:tcW w:w="852" w:type="dxa"/>
            <w:tcBorders>
              <w:top w:val="nil"/>
              <w:left w:val="nil"/>
              <w:bottom w:val="nil"/>
              <w:right w:val="nil"/>
            </w:tcBorders>
            <w:shd w:val="clear" w:color="auto" w:fill="auto"/>
            <w:noWrap/>
            <w:vAlign w:val="bottom"/>
            <w:hideMark/>
          </w:tcPr>
          <w:p w14:paraId="3F3EEC6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6BFEEDD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20.2</w:t>
            </w:r>
          </w:p>
        </w:tc>
        <w:tc>
          <w:tcPr>
            <w:tcW w:w="702" w:type="dxa"/>
            <w:tcBorders>
              <w:top w:val="nil"/>
              <w:left w:val="nil"/>
              <w:bottom w:val="nil"/>
              <w:right w:val="single" w:sz="4" w:space="0" w:color="auto"/>
            </w:tcBorders>
            <w:shd w:val="clear" w:color="auto" w:fill="auto"/>
            <w:noWrap/>
            <w:vAlign w:val="bottom"/>
            <w:hideMark/>
          </w:tcPr>
          <w:p w14:paraId="2DF788E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57.3</w:t>
            </w:r>
          </w:p>
        </w:tc>
        <w:tc>
          <w:tcPr>
            <w:tcW w:w="564" w:type="dxa"/>
            <w:tcBorders>
              <w:top w:val="nil"/>
              <w:left w:val="nil"/>
              <w:bottom w:val="nil"/>
              <w:right w:val="nil"/>
            </w:tcBorders>
            <w:shd w:val="clear" w:color="auto" w:fill="auto"/>
            <w:noWrap/>
            <w:vAlign w:val="bottom"/>
            <w:hideMark/>
          </w:tcPr>
          <w:p w14:paraId="0C4BF57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w:t>
            </w:r>
          </w:p>
        </w:tc>
        <w:tc>
          <w:tcPr>
            <w:tcW w:w="560" w:type="dxa"/>
            <w:tcBorders>
              <w:top w:val="nil"/>
              <w:left w:val="nil"/>
              <w:bottom w:val="nil"/>
              <w:right w:val="nil"/>
            </w:tcBorders>
            <w:shd w:val="clear" w:color="auto" w:fill="auto"/>
            <w:noWrap/>
            <w:vAlign w:val="bottom"/>
            <w:hideMark/>
          </w:tcPr>
          <w:p w14:paraId="591581A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1.4</w:t>
            </w:r>
          </w:p>
        </w:tc>
        <w:tc>
          <w:tcPr>
            <w:tcW w:w="642" w:type="dxa"/>
            <w:tcBorders>
              <w:top w:val="nil"/>
              <w:left w:val="nil"/>
              <w:bottom w:val="nil"/>
              <w:right w:val="nil"/>
            </w:tcBorders>
            <w:shd w:val="clear" w:color="auto" w:fill="auto"/>
            <w:noWrap/>
            <w:vAlign w:val="bottom"/>
            <w:hideMark/>
          </w:tcPr>
          <w:p w14:paraId="291B6A7D"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8.0</w:t>
            </w:r>
          </w:p>
        </w:tc>
        <w:tc>
          <w:tcPr>
            <w:tcW w:w="852" w:type="dxa"/>
            <w:tcBorders>
              <w:top w:val="nil"/>
              <w:left w:val="nil"/>
              <w:bottom w:val="nil"/>
              <w:right w:val="nil"/>
            </w:tcBorders>
            <w:shd w:val="clear" w:color="auto" w:fill="auto"/>
            <w:noWrap/>
            <w:vAlign w:val="bottom"/>
            <w:hideMark/>
          </w:tcPr>
          <w:p w14:paraId="1BD1053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3CC1031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47.7</w:t>
            </w:r>
          </w:p>
        </w:tc>
        <w:tc>
          <w:tcPr>
            <w:tcW w:w="702" w:type="dxa"/>
            <w:tcBorders>
              <w:top w:val="nil"/>
              <w:left w:val="nil"/>
              <w:bottom w:val="nil"/>
              <w:right w:val="single" w:sz="4" w:space="0" w:color="auto"/>
            </w:tcBorders>
            <w:shd w:val="clear" w:color="auto" w:fill="auto"/>
            <w:noWrap/>
            <w:vAlign w:val="bottom"/>
            <w:hideMark/>
          </w:tcPr>
          <w:p w14:paraId="53A05E7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39.5</w:t>
            </w:r>
          </w:p>
        </w:tc>
      </w:tr>
      <w:tr w:rsidR="005B2585" w:rsidRPr="007C740F" w14:paraId="165C76FE" w14:textId="77777777" w:rsidTr="00D80C87">
        <w:trPr>
          <w:trHeight w:val="240"/>
          <w:jc w:val="center"/>
        </w:trPr>
        <w:tc>
          <w:tcPr>
            <w:tcW w:w="2158" w:type="dxa"/>
            <w:tcBorders>
              <w:top w:val="nil"/>
              <w:left w:val="single" w:sz="4" w:space="0" w:color="auto"/>
              <w:bottom w:val="nil"/>
              <w:right w:val="single" w:sz="4" w:space="0" w:color="auto"/>
            </w:tcBorders>
            <w:shd w:val="clear" w:color="auto" w:fill="auto"/>
            <w:vAlign w:val="bottom"/>
            <w:hideMark/>
          </w:tcPr>
          <w:p w14:paraId="40F84A05"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2 genet risk factors</w:t>
            </w:r>
          </w:p>
        </w:tc>
        <w:tc>
          <w:tcPr>
            <w:tcW w:w="827" w:type="dxa"/>
            <w:tcBorders>
              <w:top w:val="nil"/>
              <w:left w:val="nil"/>
              <w:bottom w:val="nil"/>
              <w:right w:val="single" w:sz="4" w:space="0" w:color="auto"/>
            </w:tcBorders>
            <w:shd w:val="clear" w:color="auto" w:fill="auto"/>
            <w:noWrap/>
            <w:vAlign w:val="bottom"/>
            <w:hideMark/>
          </w:tcPr>
          <w:p w14:paraId="103C7EC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3.26</w:t>
            </w:r>
          </w:p>
        </w:tc>
        <w:tc>
          <w:tcPr>
            <w:tcW w:w="642" w:type="dxa"/>
            <w:tcBorders>
              <w:top w:val="nil"/>
              <w:left w:val="nil"/>
              <w:bottom w:val="nil"/>
              <w:right w:val="nil"/>
            </w:tcBorders>
            <w:shd w:val="clear" w:color="auto" w:fill="auto"/>
            <w:noWrap/>
            <w:vAlign w:val="bottom"/>
            <w:hideMark/>
          </w:tcPr>
          <w:p w14:paraId="7BD96845"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18.4</w:t>
            </w:r>
          </w:p>
        </w:tc>
        <w:tc>
          <w:tcPr>
            <w:tcW w:w="642" w:type="dxa"/>
            <w:tcBorders>
              <w:top w:val="nil"/>
              <w:left w:val="nil"/>
              <w:bottom w:val="nil"/>
              <w:right w:val="nil"/>
            </w:tcBorders>
            <w:shd w:val="clear" w:color="auto" w:fill="auto"/>
            <w:noWrap/>
            <w:vAlign w:val="bottom"/>
            <w:hideMark/>
          </w:tcPr>
          <w:p w14:paraId="5E820B3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40.8</w:t>
            </w:r>
          </w:p>
        </w:tc>
        <w:tc>
          <w:tcPr>
            <w:tcW w:w="702" w:type="dxa"/>
            <w:tcBorders>
              <w:top w:val="nil"/>
              <w:left w:val="nil"/>
              <w:bottom w:val="nil"/>
              <w:right w:val="nil"/>
            </w:tcBorders>
            <w:shd w:val="clear" w:color="auto" w:fill="auto"/>
            <w:noWrap/>
            <w:vAlign w:val="bottom"/>
            <w:hideMark/>
          </w:tcPr>
          <w:p w14:paraId="3DF40E7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39.0</w:t>
            </w:r>
          </w:p>
        </w:tc>
        <w:tc>
          <w:tcPr>
            <w:tcW w:w="564" w:type="dxa"/>
            <w:tcBorders>
              <w:top w:val="nil"/>
              <w:left w:val="single" w:sz="4" w:space="0" w:color="auto"/>
              <w:bottom w:val="nil"/>
              <w:right w:val="nil"/>
            </w:tcBorders>
            <w:shd w:val="clear" w:color="auto" w:fill="auto"/>
            <w:noWrap/>
            <w:vAlign w:val="bottom"/>
            <w:hideMark/>
          </w:tcPr>
          <w:p w14:paraId="56DC103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72.8</w:t>
            </w:r>
          </w:p>
        </w:tc>
        <w:tc>
          <w:tcPr>
            <w:tcW w:w="562" w:type="dxa"/>
            <w:tcBorders>
              <w:top w:val="nil"/>
              <w:left w:val="nil"/>
              <w:bottom w:val="nil"/>
              <w:right w:val="nil"/>
            </w:tcBorders>
            <w:shd w:val="clear" w:color="auto" w:fill="auto"/>
            <w:noWrap/>
            <w:vAlign w:val="bottom"/>
            <w:hideMark/>
          </w:tcPr>
          <w:p w14:paraId="5367337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392F725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0.2</w:t>
            </w:r>
          </w:p>
        </w:tc>
        <w:tc>
          <w:tcPr>
            <w:tcW w:w="852" w:type="dxa"/>
            <w:tcBorders>
              <w:top w:val="nil"/>
              <w:left w:val="nil"/>
              <w:bottom w:val="nil"/>
              <w:right w:val="nil"/>
            </w:tcBorders>
            <w:shd w:val="clear" w:color="auto" w:fill="auto"/>
            <w:noWrap/>
            <w:vAlign w:val="bottom"/>
            <w:hideMark/>
          </w:tcPr>
          <w:p w14:paraId="6C42605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26.5</w:t>
            </w:r>
          </w:p>
        </w:tc>
        <w:tc>
          <w:tcPr>
            <w:tcW w:w="642" w:type="dxa"/>
            <w:tcBorders>
              <w:top w:val="nil"/>
              <w:left w:val="nil"/>
              <w:bottom w:val="nil"/>
              <w:right w:val="nil"/>
            </w:tcBorders>
            <w:shd w:val="clear" w:color="auto" w:fill="auto"/>
            <w:noWrap/>
            <w:vAlign w:val="bottom"/>
            <w:hideMark/>
          </w:tcPr>
          <w:p w14:paraId="49763F7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702" w:type="dxa"/>
            <w:tcBorders>
              <w:top w:val="nil"/>
              <w:left w:val="nil"/>
              <w:bottom w:val="nil"/>
              <w:right w:val="single" w:sz="4" w:space="0" w:color="auto"/>
            </w:tcBorders>
            <w:shd w:val="clear" w:color="auto" w:fill="auto"/>
            <w:noWrap/>
            <w:vAlign w:val="bottom"/>
            <w:hideMark/>
          </w:tcPr>
          <w:p w14:paraId="586EC1F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0.5</w:t>
            </w:r>
          </w:p>
        </w:tc>
        <w:tc>
          <w:tcPr>
            <w:tcW w:w="564" w:type="dxa"/>
            <w:tcBorders>
              <w:top w:val="nil"/>
              <w:left w:val="nil"/>
              <w:bottom w:val="nil"/>
              <w:right w:val="nil"/>
            </w:tcBorders>
            <w:shd w:val="clear" w:color="auto" w:fill="auto"/>
            <w:noWrap/>
            <w:vAlign w:val="bottom"/>
            <w:hideMark/>
          </w:tcPr>
          <w:p w14:paraId="2C1481A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28.1</w:t>
            </w:r>
          </w:p>
        </w:tc>
        <w:tc>
          <w:tcPr>
            <w:tcW w:w="560" w:type="dxa"/>
            <w:tcBorders>
              <w:top w:val="nil"/>
              <w:left w:val="nil"/>
              <w:bottom w:val="nil"/>
              <w:right w:val="nil"/>
            </w:tcBorders>
            <w:shd w:val="clear" w:color="auto" w:fill="auto"/>
            <w:noWrap/>
            <w:vAlign w:val="bottom"/>
            <w:hideMark/>
          </w:tcPr>
          <w:p w14:paraId="29BF3B8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0.0</w:t>
            </w:r>
          </w:p>
        </w:tc>
        <w:tc>
          <w:tcPr>
            <w:tcW w:w="642" w:type="dxa"/>
            <w:tcBorders>
              <w:top w:val="nil"/>
              <w:left w:val="nil"/>
              <w:bottom w:val="nil"/>
              <w:right w:val="nil"/>
            </w:tcBorders>
            <w:shd w:val="clear" w:color="auto" w:fill="auto"/>
            <w:noWrap/>
            <w:vAlign w:val="bottom"/>
            <w:hideMark/>
          </w:tcPr>
          <w:p w14:paraId="285BDC6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11.4</w:t>
            </w:r>
          </w:p>
        </w:tc>
        <w:tc>
          <w:tcPr>
            <w:tcW w:w="852" w:type="dxa"/>
            <w:tcBorders>
              <w:top w:val="nil"/>
              <w:left w:val="nil"/>
              <w:bottom w:val="nil"/>
              <w:right w:val="nil"/>
            </w:tcBorders>
            <w:shd w:val="clear" w:color="auto" w:fill="auto"/>
            <w:noWrap/>
            <w:vAlign w:val="bottom"/>
            <w:hideMark/>
          </w:tcPr>
          <w:p w14:paraId="67220E0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9.8</w:t>
            </w:r>
          </w:p>
        </w:tc>
        <w:tc>
          <w:tcPr>
            <w:tcW w:w="642" w:type="dxa"/>
            <w:tcBorders>
              <w:top w:val="nil"/>
              <w:left w:val="nil"/>
              <w:bottom w:val="nil"/>
              <w:right w:val="nil"/>
            </w:tcBorders>
            <w:shd w:val="clear" w:color="auto" w:fill="auto"/>
            <w:noWrap/>
            <w:vAlign w:val="bottom"/>
            <w:hideMark/>
          </w:tcPr>
          <w:p w14:paraId="2081743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20.4</w:t>
            </w:r>
          </w:p>
        </w:tc>
        <w:tc>
          <w:tcPr>
            <w:tcW w:w="702" w:type="dxa"/>
            <w:tcBorders>
              <w:top w:val="nil"/>
              <w:left w:val="nil"/>
              <w:bottom w:val="nil"/>
              <w:right w:val="single" w:sz="4" w:space="0" w:color="auto"/>
            </w:tcBorders>
            <w:shd w:val="clear" w:color="auto" w:fill="auto"/>
            <w:noWrap/>
            <w:vAlign w:val="bottom"/>
            <w:hideMark/>
          </w:tcPr>
          <w:p w14:paraId="21535E7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28.7</w:t>
            </w:r>
          </w:p>
        </w:tc>
      </w:tr>
      <w:tr w:rsidR="005B2585" w:rsidRPr="007C740F" w14:paraId="21ACF2B2" w14:textId="77777777" w:rsidTr="00D80C87">
        <w:trPr>
          <w:trHeight w:val="240"/>
          <w:jc w:val="center"/>
        </w:trPr>
        <w:tc>
          <w:tcPr>
            <w:tcW w:w="21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4DADBC"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 anomalies</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30EFFB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25.1</w:t>
            </w:r>
          </w:p>
        </w:tc>
        <w:tc>
          <w:tcPr>
            <w:tcW w:w="642" w:type="dxa"/>
            <w:tcBorders>
              <w:top w:val="single" w:sz="4" w:space="0" w:color="auto"/>
              <w:left w:val="nil"/>
              <w:bottom w:val="single" w:sz="4" w:space="0" w:color="auto"/>
              <w:right w:val="nil"/>
            </w:tcBorders>
            <w:shd w:val="clear" w:color="auto" w:fill="auto"/>
            <w:noWrap/>
            <w:vAlign w:val="bottom"/>
            <w:hideMark/>
          </w:tcPr>
          <w:p w14:paraId="51757B4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5.9</w:t>
            </w:r>
          </w:p>
        </w:tc>
        <w:tc>
          <w:tcPr>
            <w:tcW w:w="642" w:type="dxa"/>
            <w:tcBorders>
              <w:top w:val="single" w:sz="4" w:space="0" w:color="auto"/>
              <w:left w:val="nil"/>
              <w:bottom w:val="single" w:sz="4" w:space="0" w:color="auto"/>
              <w:right w:val="nil"/>
            </w:tcBorders>
            <w:shd w:val="clear" w:color="auto" w:fill="auto"/>
            <w:noWrap/>
            <w:vAlign w:val="bottom"/>
            <w:hideMark/>
          </w:tcPr>
          <w:p w14:paraId="2307448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57.5</w:t>
            </w:r>
          </w:p>
        </w:tc>
        <w:tc>
          <w:tcPr>
            <w:tcW w:w="702" w:type="dxa"/>
            <w:tcBorders>
              <w:top w:val="single" w:sz="4" w:space="0" w:color="auto"/>
              <w:left w:val="nil"/>
              <w:bottom w:val="single" w:sz="4" w:space="0" w:color="auto"/>
              <w:right w:val="nil"/>
            </w:tcBorders>
            <w:shd w:val="clear" w:color="auto" w:fill="auto"/>
            <w:noWrap/>
            <w:vAlign w:val="bottom"/>
            <w:hideMark/>
          </w:tcPr>
          <w:p w14:paraId="68DD0B4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35.3</w:t>
            </w:r>
          </w:p>
        </w:tc>
        <w:tc>
          <w:tcPr>
            <w:tcW w:w="564" w:type="dxa"/>
            <w:tcBorders>
              <w:top w:val="single" w:sz="4" w:space="0" w:color="auto"/>
              <w:left w:val="single" w:sz="4" w:space="0" w:color="auto"/>
              <w:bottom w:val="single" w:sz="4" w:space="0" w:color="auto"/>
              <w:right w:val="nil"/>
            </w:tcBorders>
            <w:shd w:val="clear" w:color="auto" w:fill="auto"/>
            <w:noWrap/>
            <w:vAlign w:val="bottom"/>
            <w:hideMark/>
          </w:tcPr>
          <w:p w14:paraId="0306253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8.3</w:t>
            </w:r>
          </w:p>
        </w:tc>
        <w:tc>
          <w:tcPr>
            <w:tcW w:w="562" w:type="dxa"/>
            <w:tcBorders>
              <w:top w:val="single" w:sz="4" w:space="0" w:color="auto"/>
              <w:left w:val="nil"/>
              <w:bottom w:val="single" w:sz="4" w:space="0" w:color="auto"/>
              <w:right w:val="nil"/>
            </w:tcBorders>
            <w:shd w:val="clear" w:color="auto" w:fill="auto"/>
            <w:noWrap/>
            <w:vAlign w:val="bottom"/>
            <w:hideMark/>
          </w:tcPr>
          <w:p w14:paraId="1DCD9B7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16.3</w:t>
            </w:r>
          </w:p>
        </w:tc>
        <w:tc>
          <w:tcPr>
            <w:tcW w:w="642" w:type="dxa"/>
            <w:tcBorders>
              <w:top w:val="single" w:sz="4" w:space="0" w:color="auto"/>
              <w:left w:val="nil"/>
              <w:bottom w:val="single" w:sz="4" w:space="0" w:color="auto"/>
              <w:right w:val="nil"/>
            </w:tcBorders>
            <w:shd w:val="clear" w:color="auto" w:fill="auto"/>
            <w:noWrap/>
            <w:vAlign w:val="bottom"/>
            <w:hideMark/>
          </w:tcPr>
          <w:p w14:paraId="73D14BA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2.2</w:t>
            </w:r>
          </w:p>
        </w:tc>
        <w:tc>
          <w:tcPr>
            <w:tcW w:w="852" w:type="dxa"/>
            <w:tcBorders>
              <w:top w:val="single" w:sz="4" w:space="0" w:color="auto"/>
              <w:left w:val="nil"/>
              <w:bottom w:val="single" w:sz="4" w:space="0" w:color="auto"/>
              <w:right w:val="nil"/>
            </w:tcBorders>
            <w:shd w:val="clear" w:color="auto" w:fill="auto"/>
            <w:noWrap/>
            <w:vAlign w:val="bottom"/>
            <w:hideMark/>
          </w:tcPr>
          <w:p w14:paraId="3F50B524"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50.6</w:t>
            </w:r>
          </w:p>
        </w:tc>
        <w:tc>
          <w:tcPr>
            <w:tcW w:w="642" w:type="dxa"/>
            <w:tcBorders>
              <w:top w:val="single" w:sz="4" w:space="0" w:color="auto"/>
              <w:left w:val="nil"/>
              <w:bottom w:val="single" w:sz="4" w:space="0" w:color="auto"/>
              <w:right w:val="nil"/>
            </w:tcBorders>
            <w:shd w:val="clear" w:color="auto" w:fill="auto"/>
            <w:noWrap/>
            <w:vAlign w:val="bottom"/>
            <w:hideMark/>
          </w:tcPr>
          <w:p w14:paraId="1641EDA3"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2.2</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7A464B9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19.7</w:t>
            </w:r>
          </w:p>
        </w:tc>
        <w:tc>
          <w:tcPr>
            <w:tcW w:w="564" w:type="dxa"/>
            <w:tcBorders>
              <w:top w:val="single" w:sz="4" w:space="0" w:color="auto"/>
              <w:left w:val="nil"/>
              <w:bottom w:val="single" w:sz="4" w:space="0" w:color="auto"/>
              <w:right w:val="nil"/>
            </w:tcBorders>
            <w:shd w:val="clear" w:color="auto" w:fill="auto"/>
            <w:noWrap/>
            <w:vAlign w:val="bottom"/>
            <w:hideMark/>
          </w:tcPr>
          <w:p w14:paraId="75CF0E1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1.9</w:t>
            </w:r>
          </w:p>
        </w:tc>
        <w:tc>
          <w:tcPr>
            <w:tcW w:w="560" w:type="dxa"/>
            <w:tcBorders>
              <w:top w:val="single" w:sz="4" w:space="0" w:color="auto"/>
              <w:left w:val="nil"/>
              <w:bottom w:val="single" w:sz="4" w:space="0" w:color="auto"/>
              <w:right w:val="nil"/>
            </w:tcBorders>
            <w:shd w:val="clear" w:color="auto" w:fill="auto"/>
            <w:noWrap/>
            <w:vAlign w:val="bottom"/>
            <w:hideMark/>
          </w:tcPr>
          <w:p w14:paraId="235B61CB"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3.6</w:t>
            </w:r>
          </w:p>
        </w:tc>
        <w:tc>
          <w:tcPr>
            <w:tcW w:w="642" w:type="dxa"/>
            <w:tcBorders>
              <w:top w:val="single" w:sz="4" w:space="0" w:color="auto"/>
              <w:left w:val="nil"/>
              <w:bottom w:val="single" w:sz="4" w:space="0" w:color="auto"/>
              <w:right w:val="nil"/>
            </w:tcBorders>
            <w:shd w:val="clear" w:color="auto" w:fill="auto"/>
            <w:noWrap/>
            <w:vAlign w:val="bottom"/>
            <w:hideMark/>
          </w:tcPr>
          <w:p w14:paraId="03C3647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5.3</w:t>
            </w:r>
          </w:p>
        </w:tc>
        <w:tc>
          <w:tcPr>
            <w:tcW w:w="852" w:type="dxa"/>
            <w:tcBorders>
              <w:top w:val="single" w:sz="4" w:space="0" w:color="auto"/>
              <w:left w:val="nil"/>
              <w:bottom w:val="single" w:sz="4" w:space="0" w:color="auto"/>
              <w:right w:val="nil"/>
            </w:tcBorders>
            <w:shd w:val="clear" w:color="auto" w:fill="auto"/>
            <w:noWrap/>
            <w:vAlign w:val="bottom"/>
            <w:hideMark/>
          </w:tcPr>
          <w:p w14:paraId="79F1FA2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25.9</w:t>
            </w:r>
          </w:p>
        </w:tc>
        <w:tc>
          <w:tcPr>
            <w:tcW w:w="642" w:type="dxa"/>
            <w:tcBorders>
              <w:top w:val="single" w:sz="4" w:space="0" w:color="auto"/>
              <w:left w:val="nil"/>
              <w:bottom w:val="single" w:sz="4" w:space="0" w:color="auto"/>
              <w:right w:val="nil"/>
            </w:tcBorders>
            <w:shd w:val="clear" w:color="auto" w:fill="auto"/>
            <w:noWrap/>
            <w:vAlign w:val="bottom"/>
            <w:hideMark/>
          </w:tcPr>
          <w:p w14:paraId="53168A9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27.9</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22D00718"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34.0</w:t>
            </w:r>
          </w:p>
        </w:tc>
      </w:tr>
      <w:tr w:rsidR="005B2585" w:rsidRPr="00765791" w14:paraId="0B563258" w14:textId="77777777" w:rsidTr="00D80C87">
        <w:trPr>
          <w:trHeight w:val="255"/>
          <w:jc w:val="center"/>
        </w:trPr>
        <w:tc>
          <w:tcPr>
            <w:tcW w:w="2158" w:type="dxa"/>
            <w:tcBorders>
              <w:top w:val="nil"/>
              <w:left w:val="single" w:sz="4" w:space="0" w:color="auto"/>
              <w:bottom w:val="double" w:sz="6" w:space="0" w:color="auto"/>
              <w:right w:val="single" w:sz="4" w:space="0" w:color="auto"/>
            </w:tcBorders>
            <w:shd w:val="clear" w:color="auto" w:fill="auto"/>
            <w:vAlign w:val="bottom"/>
            <w:hideMark/>
          </w:tcPr>
          <w:p w14:paraId="02E75B61" w14:textId="77777777" w:rsidR="005B2585" w:rsidRPr="007C740F" w:rsidRDefault="005B2585" w:rsidP="00D80C87">
            <w:pPr>
              <w:spacing w:after="0" w:line="240" w:lineRule="auto"/>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Total congen disorders</w:t>
            </w:r>
          </w:p>
        </w:tc>
        <w:tc>
          <w:tcPr>
            <w:tcW w:w="827" w:type="dxa"/>
            <w:tcBorders>
              <w:top w:val="nil"/>
              <w:left w:val="nil"/>
              <w:bottom w:val="double" w:sz="6" w:space="0" w:color="auto"/>
              <w:right w:val="single" w:sz="4" w:space="0" w:color="auto"/>
            </w:tcBorders>
            <w:shd w:val="clear" w:color="auto" w:fill="auto"/>
            <w:noWrap/>
            <w:vAlign w:val="bottom"/>
            <w:hideMark/>
          </w:tcPr>
          <w:p w14:paraId="00A93B0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42.6</w:t>
            </w:r>
          </w:p>
        </w:tc>
        <w:tc>
          <w:tcPr>
            <w:tcW w:w="642" w:type="dxa"/>
            <w:tcBorders>
              <w:top w:val="nil"/>
              <w:left w:val="nil"/>
              <w:bottom w:val="double" w:sz="6" w:space="0" w:color="auto"/>
              <w:right w:val="nil"/>
            </w:tcBorders>
            <w:shd w:val="clear" w:color="auto" w:fill="auto"/>
            <w:noWrap/>
            <w:vAlign w:val="bottom"/>
            <w:hideMark/>
          </w:tcPr>
          <w:p w14:paraId="774979FE"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7.6</w:t>
            </w:r>
          </w:p>
        </w:tc>
        <w:tc>
          <w:tcPr>
            <w:tcW w:w="642" w:type="dxa"/>
            <w:tcBorders>
              <w:top w:val="nil"/>
              <w:left w:val="nil"/>
              <w:bottom w:val="double" w:sz="6" w:space="0" w:color="auto"/>
              <w:right w:val="nil"/>
            </w:tcBorders>
            <w:shd w:val="clear" w:color="auto" w:fill="auto"/>
            <w:noWrap/>
            <w:vAlign w:val="bottom"/>
            <w:hideMark/>
          </w:tcPr>
          <w:p w14:paraId="58D9F3E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56.9</w:t>
            </w:r>
          </w:p>
        </w:tc>
        <w:tc>
          <w:tcPr>
            <w:tcW w:w="702" w:type="dxa"/>
            <w:tcBorders>
              <w:top w:val="nil"/>
              <w:left w:val="nil"/>
              <w:bottom w:val="double" w:sz="6" w:space="0" w:color="auto"/>
              <w:right w:val="nil"/>
            </w:tcBorders>
            <w:shd w:val="clear" w:color="auto" w:fill="auto"/>
            <w:noWrap/>
            <w:vAlign w:val="bottom"/>
            <w:hideMark/>
          </w:tcPr>
          <w:p w14:paraId="3C700FC9"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34.1</w:t>
            </w:r>
          </w:p>
        </w:tc>
        <w:tc>
          <w:tcPr>
            <w:tcW w:w="564" w:type="dxa"/>
            <w:tcBorders>
              <w:top w:val="nil"/>
              <w:left w:val="single" w:sz="4" w:space="0" w:color="auto"/>
              <w:bottom w:val="double" w:sz="6" w:space="0" w:color="auto"/>
              <w:right w:val="nil"/>
            </w:tcBorders>
            <w:shd w:val="clear" w:color="auto" w:fill="auto"/>
            <w:noWrap/>
            <w:vAlign w:val="bottom"/>
            <w:hideMark/>
          </w:tcPr>
          <w:p w14:paraId="321A647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12.0</w:t>
            </w:r>
          </w:p>
        </w:tc>
        <w:tc>
          <w:tcPr>
            <w:tcW w:w="562" w:type="dxa"/>
            <w:tcBorders>
              <w:top w:val="nil"/>
              <w:left w:val="nil"/>
              <w:bottom w:val="double" w:sz="6" w:space="0" w:color="auto"/>
              <w:right w:val="nil"/>
            </w:tcBorders>
            <w:shd w:val="clear" w:color="auto" w:fill="auto"/>
            <w:noWrap/>
            <w:vAlign w:val="bottom"/>
            <w:hideMark/>
          </w:tcPr>
          <w:p w14:paraId="398C1566"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12.0</w:t>
            </w:r>
          </w:p>
        </w:tc>
        <w:tc>
          <w:tcPr>
            <w:tcW w:w="642" w:type="dxa"/>
            <w:tcBorders>
              <w:top w:val="nil"/>
              <w:left w:val="nil"/>
              <w:bottom w:val="double" w:sz="6" w:space="0" w:color="auto"/>
              <w:right w:val="nil"/>
            </w:tcBorders>
            <w:shd w:val="clear" w:color="auto" w:fill="auto"/>
            <w:noWrap/>
            <w:vAlign w:val="bottom"/>
            <w:hideMark/>
          </w:tcPr>
          <w:p w14:paraId="4E1DB56F"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3.8</w:t>
            </w:r>
          </w:p>
        </w:tc>
        <w:tc>
          <w:tcPr>
            <w:tcW w:w="852" w:type="dxa"/>
            <w:tcBorders>
              <w:top w:val="nil"/>
              <w:left w:val="nil"/>
              <w:bottom w:val="double" w:sz="6" w:space="0" w:color="auto"/>
              <w:right w:val="nil"/>
            </w:tcBorders>
            <w:shd w:val="clear" w:color="auto" w:fill="auto"/>
            <w:noWrap/>
            <w:vAlign w:val="bottom"/>
            <w:hideMark/>
          </w:tcPr>
          <w:p w14:paraId="64C632D2"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31.8</w:t>
            </w:r>
          </w:p>
        </w:tc>
        <w:tc>
          <w:tcPr>
            <w:tcW w:w="642" w:type="dxa"/>
            <w:tcBorders>
              <w:top w:val="nil"/>
              <w:left w:val="nil"/>
              <w:bottom w:val="double" w:sz="6" w:space="0" w:color="auto"/>
              <w:right w:val="nil"/>
            </w:tcBorders>
            <w:shd w:val="clear" w:color="auto" w:fill="auto"/>
            <w:noWrap/>
            <w:vAlign w:val="bottom"/>
            <w:hideMark/>
          </w:tcPr>
          <w:p w14:paraId="229897C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8.1</w:t>
            </w:r>
          </w:p>
        </w:tc>
        <w:tc>
          <w:tcPr>
            <w:tcW w:w="702" w:type="dxa"/>
            <w:tcBorders>
              <w:top w:val="nil"/>
              <w:left w:val="nil"/>
              <w:bottom w:val="double" w:sz="6" w:space="0" w:color="auto"/>
              <w:right w:val="single" w:sz="4" w:space="0" w:color="auto"/>
            </w:tcBorders>
            <w:shd w:val="clear" w:color="auto" w:fill="auto"/>
            <w:noWrap/>
            <w:vAlign w:val="bottom"/>
            <w:hideMark/>
          </w:tcPr>
          <w:p w14:paraId="53037FF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30.8</w:t>
            </w:r>
          </w:p>
        </w:tc>
        <w:tc>
          <w:tcPr>
            <w:tcW w:w="564" w:type="dxa"/>
            <w:tcBorders>
              <w:top w:val="nil"/>
              <w:left w:val="nil"/>
              <w:bottom w:val="double" w:sz="6" w:space="0" w:color="auto"/>
              <w:right w:val="nil"/>
            </w:tcBorders>
            <w:shd w:val="clear" w:color="auto" w:fill="auto"/>
            <w:noWrap/>
            <w:vAlign w:val="bottom"/>
            <w:hideMark/>
          </w:tcPr>
          <w:p w14:paraId="48500170"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3.7</w:t>
            </w:r>
          </w:p>
        </w:tc>
        <w:tc>
          <w:tcPr>
            <w:tcW w:w="560" w:type="dxa"/>
            <w:tcBorders>
              <w:top w:val="nil"/>
              <w:left w:val="nil"/>
              <w:bottom w:val="double" w:sz="6" w:space="0" w:color="auto"/>
              <w:right w:val="nil"/>
            </w:tcBorders>
            <w:shd w:val="clear" w:color="auto" w:fill="auto"/>
            <w:noWrap/>
            <w:vAlign w:val="bottom"/>
            <w:hideMark/>
          </w:tcPr>
          <w:p w14:paraId="40540B11"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2.6</w:t>
            </w:r>
          </w:p>
        </w:tc>
        <w:tc>
          <w:tcPr>
            <w:tcW w:w="642" w:type="dxa"/>
            <w:tcBorders>
              <w:top w:val="nil"/>
              <w:left w:val="nil"/>
              <w:bottom w:val="double" w:sz="6" w:space="0" w:color="auto"/>
              <w:right w:val="nil"/>
            </w:tcBorders>
            <w:shd w:val="clear" w:color="auto" w:fill="auto"/>
            <w:noWrap/>
            <w:vAlign w:val="bottom"/>
            <w:hideMark/>
          </w:tcPr>
          <w:p w14:paraId="73395BCC"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6.7</w:t>
            </w:r>
          </w:p>
        </w:tc>
        <w:tc>
          <w:tcPr>
            <w:tcW w:w="852" w:type="dxa"/>
            <w:tcBorders>
              <w:top w:val="nil"/>
              <w:left w:val="nil"/>
              <w:bottom w:val="double" w:sz="6" w:space="0" w:color="auto"/>
              <w:right w:val="nil"/>
            </w:tcBorders>
            <w:shd w:val="clear" w:color="auto" w:fill="auto"/>
            <w:noWrap/>
            <w:vAlign w:val="bottom"/>
            <w:hideMark/>
          </w:tcPr>
          <w:p w14:paraId="7A838C07"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15.9</w:t>
            </w:r>
          </w:p>
        </w:tc>
        <w:tc>
          <w:tcPr>
            <w:tcW w:w="642" w:type="dxa"/>
            <w:tcBorders>
              <w:top w:val="nil"/>
              <w:left w:val="nil"/>
              <w:bottom w:val="double" w:sz="6" w:space="0" w:color="auto"/>
              <w:right w:val="nil"/>
            </w:tcBorders>
            <w:shd w:val="clear" w:color="auto" w:fill="auto"/>
            <w:noWrap/>
            <w:vAlign w:val="bottom"/>
            <w:hideMark/>
          </w:tcPr>
          <w:p w14:paraId="239FF08A" w14:textId="77777777" w:rsidR="005B2585" w:rsidRPr="007C740F"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34.0</w:t>
            </w:r>
          </w:p>
        </w:tc>
        <w:tc>
          <w:tcPr>
            <w:tcW w:w="702" w:type="dxa"/>
            <w:tcBorders>
              <w:top w:val="nil"/>
              <w:left w:val="nil"/>
              <w:bottom w:val="double" w:sz="6" w:space="0" w:color="auto"/>
              <w:right w:val="single" w:sz="4" w:space="0" w:color="auto"/>
            </w:tcBorders>
            <w:shd w:val="clear" w:color="auto" w:fill="auto"/>
            <w:noWrap/>
            <w:vAlign w:val="bottom"/>
            <w:hideMark/>
          </w:tcPr>
          <w:p w14:paraId="49DBABAF" w14:textId="77777777" w:rsidR="005B2585" w:rsidRPr="00765791" w:rsidRDefault="005B2585" w:rsidP="00D80C87">
            <w:pPr>
              <w:spacing w:after="0" w:line="240" w:lineRule="auto"/>
              <w:jc w:val="center"/>
              <w:rPr>
                <w:rFonts w:ascii="Calibri" w:eastAsia="Times New Roman" w:hAnsi="Calibri" w:cs="Calibri"/>
                <w:color w:val="000000"/>
                <w:sz w:val="18"/>
                <w:szCs w:val="18"/>
                <w:lang w:eastAsia="en-GB"/>
              </w:rPr>
            </w:pPr>
            <w:r w:rsidRPr="007C740F">
              <w:rPr>
                <w:rFonts w:ascii="Calibri" w:eastAsia="Times New Roman" w:hAnsi="Calibri" w:cs="Calibri"/>
                <w:color w:val="000000"/>
                <w:sz w:val="18"/>
                <w:szCs w:val="18"/>
                <w:lang w:eastAsia="en-GB"/>
              </w:rPr>
              <w:t>35.5</w:t>
            </w:r>
          </w:p>
        </w:tc>
      </w:tr>
    </w:tbl>
    <w:p w14:paraId="04D5FE50" w14:textId="77777777" w:rsidR="005B2585" w:rsidRDefault="005B2585" w:rsidP="005B2585">
      <w:pPr>
        <w:pStyle w:val="BodyText1"/>
      </w:pPr>
    </w:p>
    <w:sectPr w:rsidR="005B2585" w:rsidSect="00A021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994B" w14:textId="77777777" w:rsidR="00480C0F" w:rsidRDefault="00480C0F" w:rsidP="00807348">
      <w:pPr>
        <w:spacing w:after="0" w:line="240" w:lineRule="auto"/>
      </w:pPr>
      <w:r>
        <w:separator/>
      </w:r>
    </w:p>
  </w:endnote>
  <w:endnote w:type="continuationSeparator" w:id="0">
    <w:p w14:paraId="35CBC619" w14:textId="77777777" w:rsidR="00480C0F" w:rsidRDefault="00480C0F" w:rsidP="0080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2571"/>
      <w:docPartObj>
        <w:docPartGallery w:val="Page Numbers (Bottom of Page)"/>
        <w:docPartUnique/>
      </w:docPartObj>
    </w:sdtPr>
    <w:sdtEndPr>
      <w:rPr>
        <w:noProof/>
      </w:rPr>
    </w:sdtEndPr>
    <w:sdtContent>
      <w:p w14:paraId="04C4E1C8" w14:textId="77777777" w:rsidR="00965B92" w:rsidRDefault="00965B92">
        <w:pPr>
          <w:pStyle w:val="Footer"/>
          <w:jc w:val="center"/>
        </w:pPr>
        <w:r>
          <w:fldChar w:fldCharType="begin"/>
        </w:r>
        <w:r>
          <w:instrText xml:space="preserve"> PAGE   \* MERGEFORMAT </w:instrText>
        </w:r>
        <w:r>
          <w:fldChar w:fldCharType="separate"/>
        </w:r>
        <w:r w:rsidR="00F011AC">
          <w:rPr>
            <w:noProof/>
          </w:rPr>
          <w:t>iii</w:t>
        </w:r>
        <w:r>
          <w:rPr>
            <w:noProof/>
          </w:rPr>
          <w:fldChar w:fldCharType="end"/>
        </w:r>
      </w:p>
    </w:sdtContent>
  </w:sdt>
  <w:p w14:paraId="10165F9F" w14:textId="77777777" w:rsidR="00965B92" w:rsidRDefault="0096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9CD3" w14:textId="77777777" w:rsidR="00480C0F" w:rsidRDefault="00480C0F" w:rsidP="00807348">
      <w:pPr>
        <w:spacing w:after="0" w:line="240" w:lineRule="auto"/>
      </w:pPr>
      <w:r>
        <w:separator/>
      </w:r>
    </w:p>
  </w:footnote>
  <w:footnote w:type="continuationSeparator" w:id="0">
    <w:p w14:paraId="7782A444" w14:textId="77777777" w:rsidR="00480C0F" w:rsidRDefault="00480C0F" w:rsidP="00807348">
      <w:pPr>
        <w:spacing w:after="0" w:line="240" w:lineRule="auto"/>
      </w:pPr>
      <w:r>
        <w:continuationSeparator/>
      </w:r>
    </w:p>
  </w:footnote>
  <w:footnote w:id="1">
    <w:p w14:paraId="44EA0F83" w14:textId="77777777" w:rsidR="00965B92" w:rsidRDefault="00965B92" w:rsidP="000E7C71">
      <w:pPr>
        <w:pStyle w:val="FootnoteText"/>
      </w:pPr>
      <w:r>
        <w:rPr>
          <w:rStyle w:val="FootnoteReference"/>
        </w:rPr>
        <w:footnoteRef/>
      </w:r>
      <w:r>
        <w:t xml:space="preserve"> “Birth defects can be defined as structural or functional abnormalities, including metabolic disorders, which are present from birth. The term congenital disorder is considered to have the same definition; the two terms are used interchangeably.” WHO 63</w:t>
      </w:r>
      <w:r w:rsidRPr="00CC414F">
        <w:rPr>
          <w:vertAlign w:val="superscript"/>
        </w:rPr>
        <w:t>rd</w:t>
      </w:r>
      <w:r>
        <w:t xml:space="preserve"> World Health Assembly. Provisional agenda item 11.7. A63/10. Birth defects. 1 April 2010.</w:t>
      </w:r>
    </w:p>
  </w:footnote>
  <w:footnote w:id="2">
    <w:p w14:paraId="460F2291" w14:textId="5F0CECA4" w:rsidR="00E847E9" w:rsidRDefault="00E847E9" w:rsidP="00E847E9">
      <w:pPr>
        <w:pStyle w:val="FootnoteText"/>
      </w:pPr>
      <w:r>
        <w:rPr>
          <w:rStyle w:val="FootnoteReference"/>
        </w:rPr>
        <w:footnoteRef/>
      </w:r>
      <w:r>
        <w:t xml:space="preserve"> </w:t>
      </w:r>
      <w:r w:rsidR="00BA56F7">
        <w:t xml:space="preserve">Baseline birth prevalence </w:t>
      </w:r>
      <w:r>
        <w:t xml:space="preserve">i.e. prevalence </w:t>
      </w:r>
      <w:r w:rsidRPr="00F04A84">
        <w:t>in the absence of any intervention</w:t>
      </w:r>
      <w:r>
        <w:t>.</w:t>
      </w:r>
    </w:p>
  </w:footnote>
  <w:footnote w:id="3">
    <w:p w14:paraId="03C84FD5" w14:textId="77777777" w:rsidR="00BC2244" w:rsidRDefault="00BC2244" w:rsidP="00BC2244">
      <w:pPr>
        <w:pStyle w:val="FootnoteText"/>
      </w:pPr>
      <w:r>
        <w:rPr>
          <w:rStyle w:val="FootnoteReference"/>
        </w:rPr>
        <w:footnoteRef/>
      </w:r>
      <w:r>
        <w:t xml:space="preserve"> The methods were reviewed and approved at a meeting of international experts at the London School of Hygiene and Tropical Medicine in April 2014. The initial, now superseded method was outlined in the March of Dimes Global Report (Christianson et al. 2006).</w:t>
      </w:r>
    </w:p>
  </w:footnote>
  <w:footnote w:id="4">
    <w:p w14:paraId="5C7181F6" w14:textId="37406632" w:rsidR="00965B92" w:rsidRDefault="00965B92" w:rsidP="009425F2">
      <w:pPr>
        <w:pStyle w:val="FootnoteText"/>
      </w:pPr>
      <w:r>
        <w:rPr>
          <w:rStyle w:val="FootnoteReference"/>
        </w:rPr>
        <w:footnoteRef/>
      </w:r>
      <w:r>
        <w:t xml:space="preserve"> Nevertheless, provisional very approximate modelling suggests that environmental disorders currently account for around 14% of global congenital disorders, ranging from around 20% in AFR to around 4% in Western Europe</w:t>
      </w:r>
      <w:r w:rsidR="00476A1E">
        <w:t xml:space="preserve">. </w:t>
      </w:r>
      <w:r>
        <w:t xml:space="preserve">For further </w:t>
      </w:r>
      <w:r w:rsidRPr="00D10C70">
        <w:t>consideration see Article 12 Environmental Congenital Disorders.</w:t>
      </w:r>
    </w:p>
  </w:footnote>
  <w:footnote w:id="5">
    <w:p w14:paraId="0993927D" w14:textId="7AE8D68E" w:rsidR="00965B92" w:rsidRDefault="00965B92" w:rsidP="007704E5">
      <w:pPr>
        <w:pStyle w:val="FootnoteText"/>
      </w:pPr>
      <w:r>
        <w:rPr>
          <w:rStyle w:val="FootnoteReference"/>
        </w:rPr>
        <w:footnoteRef/>
      </w:r>
      <w:r>
        <w:t xml:space="preserve"> For </w:t>
      </w:r>
      <w:r w:rsidR="001F6D1C">
        <w:t>example,</w:t>
      </w:r>
      <w:r>
        <w:t xml:space="preserve"> the birth prevalence of neural tube defects is strongly influenced by maternal vitamin intake, so many cases could be classed as due to genetic risk factors. Here they are classed as endogenous because (a) no normal diet contains enough natural folate to completely prevent them and (b) there is as yet insufficient evidence to split this clearly-defined malformation group by cause.</w:t>
      </w:r>
    </w:p>
  </w:footnote>
  <w:footnote w:id="6">
    <w:p w14:paraId="77FE0F66" w14:textId="0A41BF44" w:rsidR="00897288" w:rsidRDefault="00897288">
      <w:pPr>
        <w:pStyle w:val="FootnoteText"/>
      </w:pPr>
      <w:r>
        <w:rPr>
          <w:rStyle w:val="FootnoteReference"/>
        </w:rPr>
        <w:footnoteRef/>
      </w:r>
      <w:r w:rsidR="00CF5706">
        <w:t xml:space="preserve"> </w:t>
      </w:r>
      <w:r>
        <w:t>For simplicity</w:t>
      </w:r>
      <w:r w:rsidR="00CF5706">
        <w:t>,</w:t>
      </w:r>
      <w:r>
        <w:t xml:space="preserve"> in this series of articles the term “congenital disorders” is </w:t>
      </w:r>
      <w:r w:rsidR="00476A1E">
        <w:t xml:space="preserve">frequently </w:t>
      </w:r>
      <w:r>
        <w:t>used to refer to endogenous congenital disorders.</w:t>
      </w:r>
    </w:p>
  </w:footnote>
  <w:footnote w:id="7">
    <w:p w14:paraId="7D6769E6" w14:textId="51E29193" w:rsidR="00965B92" w:rsidRDefault="00965B92">
      <w:pPr>
        <w:pStyle w:val="FootnoteText"/>
      </w:pPr>
      <w:r>
        <w:rPr>
          <w:rStyle w:val="FootnoteReference"/>
        </w:rPr>
        <w:footnoteRef/>
      </w:r>
      <w:r>
        <w:t xml:space="preserve"> These studies </w:t>
      </w:r>
      <w:r w:rsidRPr="005C7788">
        <w:t xml:space="preserve">covered </w:t>
      </w:r>
      <w:r>
        <w:t xml:space="preserve">only disorders that could be reliably detected without advanced facilities but </w:t>
      </w:r>
      <w:r w:rsidRPr="005C7788">
        <w:t>included assessment of the effects of social class and parental consanguinity (S</w:t>
      </w:r>
      <w:r>
        <w:t>c</w:t>
      </w:r>
      <w:r w:rsidRPr="005C7788">
        <w:t>hull and Neel 1956</w:t>
      </w:r>
      <w:r>
        <w:t>, Schull 1958</w:t>
      </w:r>
      <w:r w:rsidRPr="005C7788">
        <w:t>)</w:t>
      </w:r>
      <w:r>
        <w:t>.</w:t>
      </w:r>
    </w:p>
  </w:footnote>
  <w:footnote w:id="8">
    <w:p w14:paraId="770A172D" w14:textId="19C03D3E" w:rsidR="00897288" w:rsidRDefault="00897288">
      <w:pPr>
        <w:pStyle w:val="FootnoteText"/>
      </w:pPr>
    </w:p>
  </w:footnote>
  <w:footnote w:id="9">
    <w:p w14:paraId="77E15ECA" w14:textId="26072BA4" w:rsidR="00B13785" w:rsidRDefault="00B13785">
      <w:pPr>
        <w:pStyle w:val="FootnoteText"/>
      </w:pPr>
      <w:r>
        <w:rPr>
          <w:rStyle w:val="FootnoteReference"/>
        </w:rPr>
        <w:footnoteRef/>
      </w:r>
      <w:r>
        <w:t xml:space="preserve"> EUROCAT definition: severe disorders = disorders that cause death or disability in the absence of intervention.</w:t>
      </w:r>
    </w:p>
  </w:footnote>
  <w:footnote w:id="10">
    <w:p w14:paraId="601CA552" w14:textId="77777777" w:rsidR="00CA040A" w:rsidRDefault="00CA040A" w:rsidP="00CA040A">
      <w:pPr>
        <w:pStyle w:val="FootnoteText"/>
      </w:pPr>
      <w:r>
        <w:rPr>
          <w:rStyle w:val="FootnoteReference"/>
        </w:rPr>
        <w:footnoteRef/>
      </w:r>
      <w:r>
        <w:t xml:space="preserve"> Methods were designed to comply as far as possible with the Guidelines for Accurate and Transparent Health Estimates Reporting (GATHER) Working Group (Stevens et al. 2016).</w:t>
      </w:r>
    </w:p>
  </w:footnote>
  <w:footnote w:id="11">
    <w:p w14:paraId="1EF46A1E" w14:textId="2F09836A" w:rsidR="00965B92" w:rsidRDefault="00965B92">
      <w:pPr>
        <w:pStyle w:val="FootnoteText"/>
      </w:pPr>
      <w:r>
        <w:rPr>
          <w:rStyle w:val="FootnoteReference"/>
        </w:rPr>
        <w:footnoteRef/>
      </w:r>
      <w:r>
        <w:t xml:space="preserve"> Usually expressed as affected per 1,000 births</w:t>
      </w:r>
      <w:r w:rsidR="00870F1B">
        <w:t>.</w:t>
      </w:r>
    </w:p>
  </w:footnote>
  <w:footnote w:id="12">
    <w:p w14:paraId="03568802" w14:textId="77777777" w:rsidR="00965B92" w:rsidRDefault="00965B92" w:rsidP="006F7752">
      <w:pPr>
        <w:pStyle w:val="FootnoteText"/>
      </w:pPr>
      <w:r>
        <w:rPr>
          <w:rStyle w:val="FootnoteReference"/>
        </w:rPr>
        <w:footnoteRef/>
      </w:r>
      <w:r>
        <w:t xml:space="preserve"> Many affected conceptions fail to implant or miscarry early in pregnancy, and do not come to the attention of health services. Such losses are extremely hard to quantify. No attempt to do so is made in MGDb. </w:t>
      </w:r>
    </w:p>
  </w:footnote>
  <w:footnote w:id="13">
    <w:p w14:paraId="29AC5420" w14:textId="1C22DE78" w:rsidR="00965B92" w:rsidRDefault="00965B92">
      <w:pPr>
        <w:pStyle w:val="FootnoteText"/>
      </w:pPr>
      <w:r>
        <w:rPr>
          <w:rStyle w:val="FootnoteReference"/>
        </w:rPr>
        <w:footnoteRef/>
      </w:r>
      <w:r>
        <w:t xml:space="preserve"> Data from the United States is used to assess the power of folic acid food fortification, which is not current practice in most of Western Europe</w:t>
      </w:r>
      <w:r w:rsidR="00BA0092">
        <w:t>.</w:t>
      </w:r>
    </w:p>
  </w:footnote>
  <w:footnote w:id="14">
    <w:p w14:paraId="53240739" w14:textId="7BF78552" w:rsidR="00965B92" w:rsidRDefault="00965B92">
      <w:pPr>
        <w:pStyle w:val="FootnoteText"/>
      </w:pPr>
      <w:r>
        <w:rPr>
          <w:rStyle w:val="FootnoteReference"/>
        </w:rPr>
        <w:footnoteRef/>
      </w:r>
      <w:r>
        <w:t xml:space="preserve"> </w:t>
      </w:r>
      <w:r w:rsidRPr="0053245C">
        <w:t xml:space="preserve">Examples include: UN </w:t>
      </w:r>
      <w:r w:rsidR="00BA0092">
        <w:t>.</w:t>
      </w:r>
      <w:r w:rsidRPr="0053245C">
        <w:t>WPP)</w:t>
      </w:r>
      <w:r w:rsidR="00BA0092">
        <w:t>.</w:t>
      </w:r>
      <w:r w:rsidRPr="0053245C">
        <w:t xml:space="preserve"> demographic data, EUROCAT and ICBDSR</w:t>
      </w:r>
      <w:r>
        <w:t xml:space="preserve"> umbrella congenital anomaly registries</w:t>
      </w:r>
      <w:r w:rsidRPr="0053245C">
        <w:t xml:space="preserve">, Livingstone’s database of haemoglobin disorders and G6PD deficiency, Murdock’s ethnographic atlas, Bittles’ consanguinity database, Institute for </w:t>
      </w:r>
      <w:r>
        <w:t>H</w:t>
      </w:r>
      <w:r w:rsidRPr="0053245C">
        <w:t xml:space="preserve">ealth </w:t>
      </w:r>
      <w:r>
        <w:t>M</w:t>
      </w:r>
      <w:r w:rsidRPr="0053245C">
        <w:t xml:space="preserve">etrics and </w:t>
      </w:r>
      <w:r>
        <w:t>E</w:t>
      </w:r>
      <w:r w:rsidRPr="0053245C">
        <w:t xml:space="preserve">valuation (IHME) global burden of disease </w:t>
      </w:r>
      <w:r>
        <w:t xml:space="preserve">(GBD) </w:t>
      </w:r>
      <w:r w:rsidRPr="0053245C">
        <w:t xml:space="preserve">study, </w:t>
      </w:r>
      <w:r>
        <w:t xml:space="preserve">and </w:t>
      </w:r>
      <w:r w:rsidRPr="0053245C">
        <w:t>key published articles e.g. Tennant et al. mortality estimates</w:t>
      </w:r>
      <w:r>
        <w:t>.</w:t>
      </w:r>
    </w:p>
  </w:footnote>
  <w:footnote w:id="15">
    <w:p w14:paraId="2835E702" w14:textId="77777777" w:rsidR="00965B92" w:rsidRDefault="00965B92" w:rsidP="0053245C">
      <w:pPr>
        <w:pStyle w:val="FootnoteText"/>
      </w:pPr>
      <w:r>
        <w:rPr>
          <w:rStyle w:val="FootnoteReference"/>
        </w:rPr>
        <w:footnoteRef/>
      </w:r>
      <w:r>
        <w:t xml:space="preserve"> Note Fermi’s recommendations: not to devote more time and effort to a problem than it is worth, and not to make something more accurate than absolutely necessary.</w:t>
      </w:r>
    </w:p>
  </w:footnote>
  <w:footnote w:id="16">
    <w:p w14:paraId="1420D643" w14:textId="77777777" w:rsidR="00965B92" w:rsidRDefault="00965B92" w:rsidP="003937C5">
      <w:pPr>
        <w:pStyle w:val="FootnoteText"/>
      </w:pPr>
      <w:r>
        <w:rPr>
          <w:rStyle w:val="FootnoteReference"/>
        </w:rPr>
        <w:footnoteRef/>
      </w:r>
      <w:r>
        <w:t xml:space="preserve"> Disorders </w:t>
      </w:r>
      <w:r w:rsidRPr="0018368F">
        <w:t>that usually present before 20 years of age</w:t>
      </w:r>
      <w:r>
        <w:t>.</w:t>
      </w:r>
    </w:p>
  </w:footnote>
  <w:footnote w:id="17">
    <w:p w14:paraId="4AC89238" w14:textId="4EF2301E" w:rsidR="00965B92" w:rsidRDefault="00965B92" w:rsidP="005A170F">
      <w:pPr>
        <w:pStyle w:val="FootnoteText"/>
      </w:pPr>
      <w:r>
        <w:rPr>
          <w:rStyle w:val="FootnoteReference"/>
        </w:rPr>
        <w:footnoteRef/>
      </w:r>
      <w:r>
        <w:t xml:space="preserve"> For a brief discussion of congenital disorders due to maternal </w:t>
      </w:r>
      <w:r w:rsidRPr="00D10C70">
        <w:t>infection see General Method Annex 2.</w:t>
      </w:r>
      <w:r>
        <w:t xml:space="preserve"> European registry data indicate that congenital infections account for around 1% of congenital anomalies in high income settings. Obviously</w:t>
      </w:r>
      <w:r w:rsidR="001739CA">
        <w:t>,</w:t>
      </w:r>
      <w:r>
        <w:t xml:space="preserve"> the rate is far higher in </w:t>
      </w:r>
      <w:r w:rsidR="001F6D1C">
        <w:t>lower</w:t>
      </w:r>
      <w:r>
        <w:t>-income settings.</w:t>
      </w:r>
    </w:p>
  </w:footnote>
  <w:footnote w:id="18">
    <w:p w14:paraId="0B9E4BEF" w14:textId="5C22B95D" w:rsidR="00965B92" w:rsidRDefault="00965B92">
      <w:pPr>
        <w:pStyle w:val="FootnoteText"/>
      </w:pPr>
      <w:r>
        <w:rPr>
          <w:rStyle w:val="FootnoteReference"/>
        </w:rPr>
        <w:footnoteRef/>
      </w:r>
      <w:r>
        <w:t xml:space="preserve"> Estimates based on data provided by Smile Train, an international non-governmental organisation promoting surgical repair of oro-facial clefts, are included in the Database. They show that such organisations can greatly reduce mortality and disability due to selected congenital disorders. </w:t>
      </w:r>
    </w:p>
  </w:footnote>
  <w:footnote w:id="19">
    <w:p w14:paraId="52D3BE47" w14:textId="77777777" w:rsidR="00965B92" w:rsidRDefault="00965B92" w:rsidP="00AC2D63">
      <w:pPr>
        <w:pStyle w:val="FootnoteText"/>
      </w:pPr>
      <w:r>
        <w:rPr>
          <w:rStyle w:val="FootnoteReference"/>
        </w:rPr>
        <w:footnoteRef/>
      </w:r>
      <w:r>
        <w:t xml:space="preserve"> The power of an intervention = its quantitative effect on outcomes when fully deployed at the population level.</w:t>
      </w:r>
    </w:p>
  </w:footnote>
  <w:footnote w:id="20">
    <w:p w14:paraId="187C0FD2" w14:textId="1F4D36C5" w:rsidR="00AF587F" w:rsidRDefault="00AF587F">
      <w:pPr>
        <w:pStyle w:val="FootnoteText"/>
      </w:pPr>
      <w:r>
        <w:rPr>
          <w:rStyle w:val="FootnoteReference"/>
        </w:rPr>
        <w:footnoteRef/>
      </w:r>
      <w:r>
        <w:t xml:space="preserve"> The method may not apply universally, e.g. there is insufficient observational data for the effect in populations of African origin with a relatively low NTD baseline birth prevalence.</w:t>
      </w:r>
    </w:p>
  </w:footnote>
  <w:footnote w:id="21">
    <w:p w14:paraId="39EB673A" w14:textId="46E48873" w:rsidR="00965B92" w:rsidRDefault="00965B92" w:rsidP="00E93ADD">
      <w:pPr>
        <w:pStyle w:val="FootnoteText"/>
      </w:pPr>
      <w:r>
        <w:rPr>
          <w:rStyle w:val="FootnoteReference"/>
        </w:rPr>
        <w:footnoteRef/>
      </w:r>
      <w:r>
        <w:t xml:space="preserve"> If folic acid food fortification were policy in Western Europe (with the lowest baseline birth prevalence) around 20% of neural tube defects would be prevented. Most of these avoidably affected pregnancies currently end in termination </w:t>
      </w:r>
      <w:r w:rsidR="00621BC0">
        <w:t xml:space="preserve">of pregnancy </w:t>
      </w:r>
      <w:r>
        <w:t>for fetal impairment</w:t>
      </w:r>
      <w:r w:rsidR="00621BC0">
        <w:t>.</w:t>
      </w:r>
    </w:p>
  </w:footnote>
  <w:footnote w:id="22">
    <w:p w14:paraId="5030C97E" w14:textId="35E779BE" w:rsidR="00965B92" w:rsidRDefault="00965B92" w:rsidP="00C90305">
      <w:pPr>
        <w:pStyle w:val="FootnoteText"/>
      </w:pPr>
      <w:r>
        <w:rPr>
          <w:noProo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7D6"/>
    <w:multiLevelType w:val="hybridMultilevel"/>
    <w:tmpl w:val="2716F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81204"/>
    <w:multiLevelType w:val="singleLevel"/>
    <w:tmpl w:val="9DCC2BB6"/>
    <w:lvl w:ilvl="0">
      <w:start w:val="1"/>
      <w:numFmt w:val="decimal"/>
      <w:lvlText w:val="%1."/>
      <w:legacy w:legacy="1" w:legacySpace="284" w:legacyIndent="454"/>
      <w:lvlJc w:val="left"/>
      <w:pPr>
        <w:ind w:left="454" w:hanging="454"/>
      </w:pPr>
    </w:lvl>
  </w:abstractNum>
  <w:abstractNum w:abstractNumId="2" w15:restartNumberingAfterBreak="0">
    <w:nsid w:val="0AFF0B37"/>
    <w:multiLevelType w:val="hybridMultilevel"/>
    <w:tmpl w:val="E0A4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21B6C"/>
    <w:multiLevelType w:val="hybridMultilevel"/>
    <w:tmpl w:val="8EDC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81925"/>
    <w:multiLevelType w:val="hybridMultilevel"/>
    <w:tmpl w:val="CAB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47796"/>
    <w:multiLevelType w:val="hybridMultilevel"/>
    <w:tmpl w:val="0D7C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6284F"/>
    <w:multiLevelType w:val="hybridMultilevel"/>
    <w:tmpl w:val="3A80A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1614E"/>
    <w:multiLevelType w:val="hybridMultilevel"/>
    <w:tmpl w:val="7C04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31EF"/>
    <w:multiLevelType w:val="hybridMultilevel"/>
    <w:tmpl w:val="9826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7601F"/>
    <w:multiLevelType w:val="hybridMultilevel"/>
    <w:tmpl w:val="4C62D8B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3422364E"/>
    <w:multiLevelType w:val="hybridMultilevel"/>
    <w:tmpl w:val="8042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E692F"/>
    <w:multiLevelType w:val="hybridMultilevel"/>
    <w:tmpl w:val="DF3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F359B"/>
    <w:multiLevelType w:val="hybridMultilevel"/>
    <w:tmpl w:val="5B7A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F1FFE"/>
    <w:multiLevelType w:val="hybridMultilevel"/>
    <w:tmpl w:val="228A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047C3"/>
    <w:multiLevelType w:val="hybridMultilevel"/>
    <w:tmpl w:val="9E36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64599"/>
    <w:multiLevelType w:val="singleLevel"/>
    <w:tmpl w:val="9DCC2BB6"/>
    <w:lvl w:ilvl="0">
      <w:start w:val="1"/>
      <w:numFmt w:val="decimal"/>
      <w:lvlText w:val="%1."/>
      <w:legacy w:legacy="1" w:legacySpace="284" w:legacyIndent="454"/>
      <w:lvlJc w:val="left"/>
      <w:pPr>
        <w:ind w:left="454" w:hanging="454"/>
      </w:pPr>
    </w:lvl>
  </w:abstractNum>
  <w:abstractNum w:abstractNumId="16" w15:restartNumberingAfterBreak="0">
    <w:nsid w:val="46F67E6C"/>
    <w:multiLevelType w:val="hybridMultilevel"/>
    <w:tmpl w:val="B7F4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F4545"/>
    <w:multiLevelType w:val="hybridMultilevel"/>
    <w:tmpl w:val="4066F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17AAB"/>
    <w:multiLevelType w:val="hybridMultilevel"/>
    <w:tmpl w:val="98D0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E4B32"/>
    <w:multiLevelType w:val="hybridMultilevel"/>
    <w:tmpl w:val="1168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356F7"/>
    <w:multiLevelType w:val="hybridMultilevel"/>
    <w:tmpl w:val="226E44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026A9A"/>
    <w:multiLevelType w:val="hybridMultilevel"/>
    <w:tmpl w:val="A52CF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01355F"/>
    <w:multiLevelType w:val="hybridMultilevel"/>
    <w:tmpl w:val="2E66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064AE8"/>
    <w:multiLevelType w:val="hybridMultilevel"/>
    <w:tmpl w:val="CBBEC2D0"/>
    <w:lvl w:ilvl="0" w:tplc="4E0A68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221D3"/>
    <w:multiLevelType w:val="hybridMultilevel"/>
    <w:tmpl w:val="12CE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C1325"/>
    <w:multiLevelType w:val="hybridMultilevel"/>
    <w:tmpl w:val="514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A242C"/>
    <w:multiLevelType w:val="hybridMultilevel"/>
    <w:tmpl w:val="E222F8AE"/>
    <w:lvl w:ilvl="0" w:tplc="0809000F">
      <w:start w:val="1"/>
      <w:numFmt w:val="decimal"/>
      <w:lvlText w:val="%1."/>
      <w:lvlJc w:val="left"/>
      <w:pPr>
        <w:ind w:left="-351" w:hanging="360"/>
      </w:pPr>
      <w:rPr>
        <w:rFonts w:hint="default"/>
      </w:rPr>
    </w:lvl>
    <w:lvl w:ilvl="1" w:tplc="08090003">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7" w15:restartNumberingAfterBreak="0">
    <w:nsid w:val="6FE04222"/>
    <w:multiLevelType w:val="hybridMultilevel"/>
    <w:tmpl w:val="548AC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11234"/>
    <w:multiLevelType w:val="hybridMultilevel"/>
    <w:tmpl w:val="00809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91FAD"/>
    <w:multiLevelType w:val="hybridMultilevel"/>
    <w:tmpl w:val="F3F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743332">
    <w:abstractNumId w:val="19"/>
  </w:num>
  <w:num w:numId="2" w16cid:durableId="1557471276">
    <w:abstractNumId w:val="7"/>
  </w:num>
  <w:num w:numId="3" w16cid:durableId="668220437">
    <w:abstractNumId w:val="23"/>
  </w:num>
  <w:num w:numId="4" w16cid:durableId="758713809">
    <w:abstractNumId w:val="25"/>
  </w:num>
  <w:num w:numId="5" w16cid:durableId="1847209454">
    <w:abstractNumId w:val="26"/>
  </w:num>
  <w:num w:numId="6" w16cid:durableId="1727412810">
    <w:abstractNumId w:val="8"/>
  </w:num>
  <w:num w:numId="7" w16cid:durableId="950548072">
    <w:abstractNumId w:val="10"/>
  </w:num>
  <w:num w:numId="8" w16cid:durableId="1595936844">
    <w:abstractNumId w:val="0"/>
  </w:num>
  <w:num w:numId="9" w16cid:durableId="169607932">
    <w:abstractNumId w:val="21"/>
  </w:num>
  <w:num w:numId="10" w16cid:durableId="1330906995">
    <w:abstractNumId w:val="15"/>
  </w:num>
  <w:num w:numId="11" w16cid:durableId="1245603645">
    <w:abstractNumId w:val="12"/>
  </w:num>
  <w:num w:numId="12" w16cid:durableId="1752963214">
    <w:abstractNumId w:val="27"/>
  </w:num>
  <w:num w:numId="13" w16cid:durableId="815923319">
    <w:abstractNumId w:val="3"/>
  </w:num>
  <w:num w:numId="14" w16cid:durableId="708648193">
    <w:abstractNumId w:val="16"/>
  </w:num>
  <w:num w:numId="15" w16cid:durableId="190460002">
    <w:abstractNumId w:val="29"/>
  </w:num>
  <w:num w:numId="16" w16cid:durableId="365833673">
    <w:abstractNumId w:val="14"/>
  </w:num>
  <w:num w:numId="17" w16cid:durableId="247037075">
    <w:abstractNumId w:val="17"/>
  </w:num>
  <w:num w:numId="18" w16cid:durableId="344132844">
    <w:abstractNumId w:val="6"/>
  </w:num>
  <w:num w:numId="19" w16cid:durableId="1304655164">
    <w:abstractNumId w:val="20"/>
  </w:num>
  <w:num w:numId="20" w16cid:durableId="79954124">
    <w:abstractNumId w:val="28"/>
  </w:num>
  <w:num w:numId="21" w16cid:durableId="133260800">
    <w:abstractNumId w:val="18"/>
  </w:num>
  <w:num w:numId="22" w16cid:durableId="1696809743">
    <w:abstractNumId w:val="13"/>
  </w:num>
  <w:num w:numId="23" w16cid:durableId="1150246936">
    <w:abstractNumId w:val="22"/>
  </w:num>
  <w:num w:numId="24" w16cid:durableId="1875539184">
    <w:abstractNumId w:val="1"/>
  </w:num>
  <w:num w:numId="25" w16cid:durableId="1493717796">
    <w:abstractNumId w:val="11"/>
  </w:num>
  <w:num w:numId="26" w16cid:durableId="1677272419">
    <w:abstractNumId w:val="5"/>
  </w:num>
  <w:num w:numId="27" w16cid:durableId="66264927">
    <w:abstractNumId w:val="24"/>
  </w:num>
  <w:num w:numId="28" w16cid:durableId="1418407415">
    <w:abstractNumId w:val="2"/>
  </w:num>
  <w:num w:numId="29" w16cid:durableId="722169233">
    <w:abstractNumId w:val="4"/>
  </w:num>
  <w:num w:numId="30" w16cid:durableId="320887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48"/>
    <w:rsid w:val="000023AD"/>
    <w:rsid w:val="000023C6"/>
    <w:rsid w:val="00002C5C"/>
    <w:rsid w:val="00006122"/>
    <w:rsid w:val="0001066A"/>
    <w:rsid w:val="00015C5D"/>
    <w:rsid w:val="00017510"/>
    <w:rsid w:val="00021AEE"/>
    <w:rsid w:val="00021F97"/>
    <w:rsid w:val="000264D5"/>
    <w:rsid w:val="000306C0"/>
    <w:rsid w:val="00033196"/>
    <w:rsid w:val="00033BE2"/>
    <w:rsid w:val="00035A36"/>
    <w:rsid w:val="00043EEC"/>
    <w:rsid w:val="00044A46"/>
    <w:rsid w:val="00045C89"/>
    <w:rsid w:val="00051B68"/>
    <w:rsid w:val="00053A69"/>
    <w:rsid w:val="0005403D"/>
    <w:rsid w:val="000553A6"/>
    <w:rsid w:val="00055F7D"/>
    <w:rsid w:val="0005700A"/>
    <w:rsid w:val="00061E75"/>
    <w:rsid w:val="00064E49"/>
    <w:rsid w:val="00066D01"/>
    <w:rsid w:val="00067019"/>
    <w:rsid w:val="000706A1"/>
    <w:rsid w:val="0007131D"/>
    <w:rsid w:val="00072C60"/>
    <w:rsid w:val="00075914"/>
    <w:rsid w:val="000761EA"/>
    <w:rsid w:val="00076AC6"/>
    <w:rsid w:val="00081CAD"/>
    <w:rsid w:val="000833ED"/>
    <w:rsid w:val="000837F1"/>
    <w:rsid w:val="000909A6"/>
    <w:rsid w:val="0009106C"/>
    <w:rsid w:val="00097A79"/>
    <w:rsid w:val="000A062B"/>
    <w:rsid w:val="000A6AF9"/>
    <w:rsid w:val="000B003E"/>
    <w:rsid w:val="000B2F17"/>
    <w:rsid w:val="000B6E55"/>
    <w:rsid w:val="000C24A4"/>
    <w:rsid w:val="000C276B"/>
    <w:rsid w:val="000C363D"/>
    <w:rsid w:val="000C3E9B"/>
    <w:rsid w:val="000C61C0"/>
    <w:rsid w:val="000C7528"/>
    <w:rsid w:val="000C7AFD"/>
    <w:rsid w:val="000D603F"/>
    <w:rsid w:val="000D6A69"/>
    <w:rsid w:val="000D6FEF"/>
    <w:rsid w:val="000E0791"/>
    <w:rsid w:val="000E27F0"/>
    <w:rsid w:val="000E2F62"/>
    <w:rsid w:val="000E4A91"/>
    <w:rsid w:val="000E6D8D"/>
    <w:rsid w:val="000E7C71"/>
    <w:rsid w:val="000F1B93"/>
    <w:rsid w:val="000F3071"/>
    <w:rsid w:val="000F42EE"/>
    <w:rsid w:val="000F4BB2"/>
    <w:rsid w:val="000F6F1F"/>
    <w:rsid w:val="000F7F0E"/>
    <w:rsid w:val="001048B1"/>
    <w:rsid w:val="00110837"/>
    <w:rsid w:val="00111E3A"/>
    <w:rsid w:val="0011276A"/>
    <w:rsid w:val="0011313D"/>
    <w:rsid w:val="00114366"/>
    <w:rsid w:val="00114C87"/>
    <w:rsid w:val="001234DD"/>
    <w:rsid w:val="0012444A"/>
    <w:rsid w:val="0012521A"/>
    <w:rsid w:val="001261C7"/>
    <w:rsid w:val="00134CCB"/>
    <w:rsid w:val="00135A28"/>
    <w:rsid w:val="00137875"/>
    <w:rsid w:val="00137C80"/>
    <w:rsid w:val="00140408"/>
    <w:rsid w:val="00140564"/>
    <w:rsid w:val="0014160C"/>
    <w:rsid w:val="001459AD"/>
    <w:rsid w:val="001463F1"/>
    <w:rsid w:val="00147042"/>
    <w:rsid w:val="0015157F"/>
    <w:rsid w:val="00151699"/>
    <w:rsid w:val="00151A8C"/>
    <w:rsid w:val="001529F8"/>
    <w:rsid w:val="00152C42"/>
    <w:rsid w:val="00152FCD"/>
    <w:rsid w:val="00152FCF"/>
    <w:rsid w:val="00153283"/>
    <w:rsid w:val="00162EE3"/>
    <w:rsid w:val="0016308D"/>
    <w:rsid w:val="001679BB"/>
    <w:rsid w:val="00171BDD"/>
    <w:rsid w:val="001739CA"/>
    <w:rsid w:val="001760E0"/>
    <w:rsid w:val="00180912"/>
    <w:rsid w:val="00182853"/>
    <w:rsid w:val="00184EB4"/>
    <w:rsid w:val="00194937"/>
    <w:rsid w:val="00195E38"/>
    <w:rsid w:val="001A089E"/>
    <w:rsid w:val="001A19B6"/>
    <w:rsid w:val="001A3BE6"/>
    <w:rsid w:val="001A4B8A"/>
    <w:rsid w:val="001A651C"/>
    <w:rsid w:val="001A6B8B"/>
    <w:rsid w:val="001A7A27"/>
    <w:rsid w:val="001B5957"/>
    <w:rsid w:val="001C4CCB"/>
    <w:rsid w:val="001C5BEA"/>
    <w:rsid w:val="001C63C8"/>
    <w:rsid w:val="001D0D2C"/>
    <w:rsid w:val="001D1DBE"/>
    <w:rsid w:val="001D2F3B"/>
    <w:rsid w:val="001D38FE"/>
    <w:rsid w:val="001D567F"/>
    <w:rsid w:val="001D57C9"/>
    <w:rsid w:val="001E2939"/>
    <w:rsid w:val="001E2E21"/>
    <w:rsid w:val="001E505A"/>
    <w:rsid w:val="001E61C9"/>
    <w:rsid w:val="001E6EFE"/>
    <w:rsid w:val="001E6F05"/>
    <w:rsid w:val="001F0302"/>
    <w:rsid w:val="001F1315"/>
    <w:rsid w:val="001F1F89"/>
    <w:rsid w:val="001F3763"/>
    <w:rsid w:val="001F38C0"/>
    <w:rsid w:val="001F4ABE"/>
    <w:rsid w:val="001F6D1C"/>
    <w:rsid w:val="001F754B"/>
    <w:rsid w:val="0020182E"/>
    <w:rsid w:val="00202B27"/>
    <w:rsid w:val="002043AB"/>
    <w:rsid w:val="002057A9"/>
    <w:rsid w:val="00207DAB"/>
    <w:rsid w:val="00210A9E"/>
    <w:rsid w:val="00212D39"/>
    <w:rsid w:val="002133F5"/>
    <w:rsid w:val="00215DAC"/>
    <w:rsid w:val="00222D06"/>
    <w:rsid w:val="002238D5"/>
    <w:rsid w:val="00224475"/>
    <w:rsid w:val="002267E5"/>
    <w:rsid w:val="002323C5"/>
    <w:rsid w:val="002340D5"/>
    <w:rsid w:val="00236EC2"/>
    <w:rsid w:val="0024012F"/>
    <w:rsid w:val="002467CD"/>
    <w:rsid w:val="00251B37"/>
    <w:rsid w:val="00251B60"/>
    <w:rsid w:val="00252511"/>
    <w:rsid w:val="00252F8B"/>
    <w:rsid w:val="00252FCD"/>
    <w:rsid w:val="00253646"/>
    <w:rsid w:val="00254BA6"/>
    <w:rsid w:val="002627C6"/>
    <w:rsid w:val="00264141"/>
    <w:rsid w:val="00264564"/>
    <w:rsid w:val="00267B3D"/>
    <w:rsid w:val="00270B89"/>
    <w:rsid w:val="002712BF"/>
    <w:rsid w:val="00272135"/>
    <w:rsid w:val="00273C2B"/>
    <w:rsid w:val="00275654"/>
    <w:rsid w:val="00281025"/>
    <w:rsid w:val="00282839"/>
    <w:rsid w:val="002828C0"/>
    <w:rsid w:val="0028316B"/>
    <w:rsid w:val="002843D2"/>
    <w:rsid w:val="002857A4"/>
    <w:rsid w:val="00293A1A"/>
    <w:rsid w:val="00296FAA"/>
    <w:rsid w:val="002A1D2A"/>
    <w:rsid w:val="002A3C17"/>
    <w:rsid w:val="002A52A5"/>
    <w:rsid w:val="002A74AF"/>
    <w:rsid w:val="002B0EA7"/>
    <w:rsid w:val="002B1EEF"/>
    <w:rsid w:val="002B27EB"/>
    <w:rsid w:val="002B44E7"/>
    <w:rsid w:val="002B492B"/>
    <w:rsid w:val="002B7F56"/>
    <w:rsid w:val="002C2242"/>
    <w:rsid w:val="002C5707"/>
    <w:rsid w:val="002D0B9F"/>
    <w:rsid w:val="002D1B59"/>
    <w:rsid w:val="002D51CA"/>
    <w:rsid w:val="002D69EA"/>
    <w:rsid w:val="002E0981"/>
    <w:rsid w:val="002E2CA4"/>
    <w:rsid w:val="002F08C5"/>
    <w:rsid w:val="002F102C"/>
    <w:rsid w:val="003003BC"/>
    <w:rsid w:val="00300B0D"/>
    <w:rsid w:val="0030228D"/>
    <w:rsid w:val="003035FF"/>
    <w:rsid w:val="003037C6"/>
    <w:rsid w:val="003047D5"/>
    <w:rsid w:val="00306945"/>
    <w:rsid w:val="00310602"/>
    <w:rsid w:val="00312C4E"/>
    <w:rsid w:val="0031478F"/>
    <w:rsid w:val="00315228"/>
    <w:rsid w:val="0032159A"/>
    <w:rsid w:val="003223C2"/>
    <w:rsid w:val="00322ECB"/>
    <w:rsid w:val="00324EDD"/>
    <w:rsid w:val="00326BB3"/>
    <w:rsid w:val="003318BF"/>
    <w:rsid w:val="0033217C"/>
    <w:rsid w:val="003324FC"/>
    <w:rsid w:val="003332CD"/>
    <w:rsid w:val="0033433C"/>
    <w:rsid w:val="003345DA"/>
    <w:rsid w:val="003349B3"/>
    <w:rsid w:val="00337DBD"/>
    <w:rsid w:val="00340B71"/>
    <w:rsid w:val="00340E11"/>
    <w:rsid w:val="00350CC0"/>
    <w:rsid w:val="003543DA"/>
    <w:rsid w:val="00357851"/>
    <w:rsid w:val="003607A6"/>
    <w:rsid w:val="00361994"/>
    <w:rsid w:val="003625F4"/>
    <w:rsid w:val="00362D8D"/>
    <w:rsid w:val="00362ECD"/>
    <w:rsid w:val="0036356A"/>
    <w:rsid w:val="00365CD6"/>
    <w:rsid w:val="00374743"/>
    <w:rsid w:val="00375911"/>
    <w:rsid w:val="003775BC"/>
    <w:rsid w:val="0037767D"/>
    <w:rsid w:val="0038126A"/>
    <w:rsid w:val="0038185F"/>
    <w:rsid w:val="003854E1"/>
    <w:rsid w:val="00393640"/>
    <w:rsid w:val="003937C5"/>
    <w:rsid w:val="00393AC6"/>
    <w:rsid w:val="00393F01"/>
    <w:rsid w:val="00396B26"/>
    <w:rsid w:val="00397BFD"/>
    <w:rsid w:val="003A1772"/>
    <w:rsid w:val="003A4067"/>
    <w:rsid w:val="003A59A7"/>
    <w:rsid w:val="003A5F58"/>
    <w:rsid w:val="003A6423"/>
    <w:rsid w:val="003A6B0F"/>
    <w:rsid w:val="003B3A94"/>
    <w:rsid w:val="003B3E0B"/>
    <w:rsid w:val="003B4FDD"/>
    <w:rsid w:val="003B76EB"/>
    <w:rsid w:val="003B773F"/>
    <w:rsid w:val="003C09E6"/>
    <w:rsid w:val="003C0CAF"/>
    <w:rsid w:val="003C0DCF"/>
    <w:rsid w:val="003C354A"/>
    <w:rsid w:val="003C3A27"/>
    <w:rsid w:val="003C5284"/>
    <w:rsid w:val="003C7713"/>
    <w:rsid w:val="003D35D3"/>
    <w:rsid w:val="003D4377"/>
    <w:rsid w:val="003D684E"/>
    <w:rsid w:val="003D7182"/>
    <w:rsid w:val="003D730E"/>
    <w:rsid w:val="003E08A3"/>
    <w:rsid w:val="003E09CD"/>
    <w:rsid w:val="003E0FF2"/>
    <w:rsid w:val="003E29AE"/>
    <w:rsid w:val="003E3C71"/>
    <w:rsid w:val="003E45B8"/>
    <w:rsid w:val="003F1023"/>
    <w:rsid w:val="003F1C98"/>
    <w:rsid w:val="003F2F5E"/>
    <w:rsid w:val="003F42BA"/>
    <w:rsid w:val="003F4895"/>
    <w:rsid w:val="003F4F1C"/>
    <w:rsid w:val="003F5B6D"/>
    <w:rsid w:val="0040286D"/>
    <w:rsid w:val="00404FA7"/>
    <w:rsid w:val="00405B73"/>
    <w:rsid w:val="004073E6"/>
    <w:rsid w:val="00412783"/>
    <w:rsid w:val="00412CC6"/>
    <w:rsid w:val="00413005"/>
    <w:rsid w:val="00414B1F"/>
    <w:rsid w:val="004222DE"/>
    <w:rsid w:val="0042571A"/>
    <w:rsid w:val="00425DB9"/>
    <w:rsid w:val="00430DD6"/>
    <w:rsid w:val="004320E6"/>
    <w:rsid w:val="004327C5"/>
    <w:rsid w:val="00432FE7"/>
    <w:rsid w:val="0043362E"/>
    <w:rsid w:val="00436493"/>
    <w:rsid w:val="00436CF3"/>
    <w:rsid w:val="0044295B"/>
    <w:rsid w:val="004434FF"/>
    <w:rsid w:val="00444316"/>
    <w:rsid w:val="004471F3"/>
    <w:rsid w:val="00447250"/>
    <w:rsid w:val="00452077"/>
    <w:rsid w:val="00452751"/>
    <w:rsid w:val="00452A40"/>
    <w:rsid w:val="00452AFC"/>
    <w:rsid w:val="00454317"/>
    <w:rsid w:val="00457E62"/>
    <w:rsid w:val="00466078"/>
    <w:rsid w:val="004669FA"/>
    <w:rsid w:val="00467559"/>
    <w:rsid w:val="00473527"/>
    <w:rsid w:val="00476A1E"/>
    <w:rsid w:val="00480C0F"/>
    <w:rsid w:val="00481BA1"/>
    <w:rsid w:val="00482258"/>
    <w:rsid w:val="004836E3"/>
    <w:rsid w:val="00483AAA"/>
    <w:rsid w:val="00483EE1"/>
    <w:rsid w:val="00484FF0"/>
    <w:rsid w:val="00487A35"/>
    <w:rsid w:val="004906E3"/>
    <w:rsid w:val="00490D05"/>
    <w:rsid w:val="00491B9A"/>
    <w:rsid w:val="004931C1"/>
    <w:rsid w:val="00493EA6"/>
    <w:rsid w:val="004948A5"/>
    <w:rsid w:val="00494C07"/>
    <w:rsid w:val="00495FDF"/>
    <w:rsid w:val="00496084"/>
    <w:rsid w:val="00497D57"/>
    <w:rsid w:val="00497EBB"/>
    <w:rsid w:val="004A0337"/>
    <w:rsid w:val="004A4019"/>
    <w:rsid w:val="004B097B"/>
    <w:rsid w:val="004B24D4"/>
    <w:rsid w:val="004B73FD"/>
    <w:rsid w:val="004B7D20"/>
    <w:rsid w:val="004C1513"/>
    <w:rsid w:val="004C3A69"/>
    <w:rsid w:val="004D0169"/>
    <w:rsid w:val="004D2090"/>
    <w:rsid w:val="004D25F3"/>
    <w:rsid w:val="004D313F"/>
    <w:rsid w:val="004D4002"/>
    <w:rsid w:val="004E7D79"/>
    <w:rsid w:val="004F0B19"/>
    <w:rsid w:val="004F3EEB"/>
    <w:rsid w:val="005002F9"/>
    <w:rsid w:val="00501A0D"/>
    <w:rsid w:val="00503477"/>
    <w:rsid w:val="005102F7"/>
    <w:rsid w:val="00511C66"/>
    <w:rsid w:val="0051251D"/>
    <w:rsid w:val="00526067"/>
    <w:rsid w:val="005277EE"/>
    <w:rsid w:val="005302BA"/>
    <w:rsid w:val="00531B36"/>
    <w:rsid w:val="0053245C"/>
    <w:rsid w:val="00532C7E"/>
    <w:rsid w:val="00534234"/>
    <w:rsid w:val="00535DCD"/>
    <w:rsid w:val="00536EEE"/>
    <w:rsid w:val="00537684"/>
    <w:rsid w:val="005413A0"/>
    <w:rsid w:val="00542324"/>
    <w:rsid w:val="00542F2A"/>
    <w:rsid w:val="00543A42"/>
    <w:rsid w:val="00543D27"/>
    <w:rsid w:val="00545E89"/>
    <w:rsid w:val="00546A5D"/>
    <w:rsid w:val="00546BCA"/>
    <w:rsid w:val="00547FF1"/>
    <w:rsid w:val="00552664"/>
    <w:rsid w:val="00552A96"/>
    <w:rsid w:val="005533E0"/>
    <w:rsid w:val="00555624"/>
    <w:rsid w:val="00557120"/>
    <w:rsid w:val="00565182"/>
    <w:rsid w:val="0056554E"/>
    <w:rsid w:val="0056657E"/>
    <w:rsid w:val="00571790"/>
    <w:rsid w:val="00576058"/>
    <w:rsid w:val="0057662B"/>
    <w:rsid w:val="00576A24"/>
    <w:rsid w:val="00581B0B"/>
    <w:rsid w:val="00592D5A"/>
    <w:rsid w:val="0059426C"/>
    <w:rsid w:val="005A019B"/>
    <w:rsid w:val="005A042D"/>
    <w:rsid w:val="005A065D"/>
    <w:rsid w:val="005A10D4"/>
    <w:rsid w:val="005A170F"/>
    <w:rsid w:val="005A2362"/>
    <w:rsid w:val="005A2D1E"/>
    <w:rsid w:val="005A4339"/>
    <w:rsid w:val="005A7291"/>
    <w:rsid w:val="005A7CDD"/>
    <w:rsid w:val="005B0F5C"/>
    <w:rsid w:val="005B198B"/>
    <w:rsid w:val="005B2585"/>
    <w:rsid w:val="005C1C89"/>
    <w:rsid w:val="005C2E6A"/>
    <w:rsid w:val="005C45AC"/>
    <w:rsid w:val="005C4850"/>
    <w:rsid w:val="005C600D"/>
    <w:rsid w:val="005C6D52"/>
    <w:rsid w:val="005C7321"/>
    <w:rsid w:val="005C7788"/>
    <w:rsid w:val="005D0F89"/>
    <w:rsid w:val="005D1531"/>
    <w:rsid w:val="005D3505"/>
    <w:rsid w:val="005D4CD8"/>
    <w:rsid w:val="005D4F15"/>
    <w:rsid w:val="005D5914"/>
    <w:rsid w:val="005E02ED"/>
    <w:rsid w:val="005E07ED"/>
    <w:rsid w:val="005E3E59"/>
    <w:rsid w:val="005E537C"/>
    <w:rsid w:val="005E5E63"/>
    <w:rsid w:val="005E733C"/>
    <w:rsid w:val="005F0052"/>
    <w:rsid w:val="005F121A"/>
    <w:rsid w:val="005F5EEA"/>
    <w:rsid w:val="0060090B"/>
    <w:rsid w:val="00605D74"/>
    <w:rsid w:val="0062177A"/>
    <w:rsid w:val="00621BC0"/>
    <w:rsid w:val="006222D4"/>
    <w:rsid w:val="00622353"/>
    <w:rsid w:val="0062788D"/>
    <w:rsid w:val="00634641"/>
    <w:rsid w:val="0063683D"/>
    <w:rsid w:val="0063743E"/>
    <w:rsid w:val="00640886"/>
    <w:rsid w:val="00641C25"/>
    <w:rsid w:val="00643377"/>
    <w:rsid w:val="00643A8D"/>
    <w:rsid w:val="00644B99"/>
    <w:rsid w:val="0064794C"/>
    <w:rsid w:val="00652D3B"/>
    <w:rsid w:val="00654288"/>
    <w:rsid w:val="00654B27"/>
    <w:rsid w:val="006569A6"/>
    <w:rsid w:val="00660C5F"/>
    <w:rsid w:val="006629E8"/>
    <w:rsid w:val="00664636"/>
    <w:rsid w:val="00666A57"/>
    <w:rsid w:val="00667B39"/>
    <w:rsid w:val="00667ECD"/>
    <w:rsid w:val="006728E7"/>
    <w:rsid w:val="006734B2"/>
    <w:rsid w:val="00673941"/>
    <w:rsid w:val="006754E1"/>
    <w:rsid w:val="006758D5"/>
    <w:rsid w:val="00676606"/>
    <w:rsid w:val="00681205"/>
    <w:rsid w:val="006827C5"/>
    <w:rsid w:val="00682800"/>
    <w:rsid w:val="00683618"/>
    <w:rsid w:val="00686A22"/>
    <w:rsid w:val="00687629"/>
    <w:rsid w:val="006901A3"/>
    <w:rsid w:val="00690939"/>
    <w:rsid w:val="006916F6"/>
    <w:rsid w:val="00693A32"/>
    <w:rsid w:val="00693CDC"/>
    <w:rsid w:val="00694B76"/>
    <w:rsid w:val="00696978"/>
    <w:rsid w:val="006A2960"/>
    <w:rsid w:val="006A3076"/>
    <w:rsid w:val="006A307E"/>
    <w:rsid w:val="006A4FB0"/>
    <w:rsid w:val="006A5736"/>
    <w:rsid w:val="006B0D0A"/>
    <w:rsid w:val="006B1BAF"/>
    <w:rsid w:val="006B1EE7"/>
    <w:rsid w:val="006B3C38"/>
    <w:rsid w:val="006B4775"/>
    <w:rsid w:val="006C0EF7"/>
    <w:rsid w:val="006C339D"/>
    <w:rsid w:val="006C3F5C"/>
    <w:rsid w:val="006C6029"/>
    <w:rsid w:val="006D231A"/>
    <w:rsid w:val="006D374C"/>
    <w:rsid w:val="006D5B32"/>
    <w:rsid w:val="006D7ABE"/>
    <w:rsid w:val="006D7CAB"/>
    <w:rsid w:val="006E035D"/>
    <w:rsid w:val="006E1AD6"/>
    <w:rsid w:val="006E1F78"/>
    <w:rsid w:val="006E2D35"/>
    <w:rsid w:val="006E5FE7"/>
    <w:rsid w:val="006E63C2"/>
    <w:rsid w:val="006E7FE8"/>
    <w:rsid w:val="006F0D5D"/>
    <w:rsid w:val="006F2D77"/>
    <w:rsid w:val="006F2E79"/>
    <w:rsid w:val="006F3D06"/>
    <w:rsid w:val="006F5467"/>
    <w:rsid w:val="006F5745"/>
    <w:rsid w:val="006F669E"/>
    <w:rsid w:val="006F7752"/>
    <w:rsid w:val="006F7FA3"/>
    <w:rsid w:val="00700D53"/>
    <w:rsid w:val="00701AA9"/>
    <w:rsid w:val="00702306"/>
    <w:rsid w:val="00704359"/>
    <w:rsid w:val="00705851"/>
    <w:rsid w:val="00705F22"/>
    <w:rsid w:val="007100EB"/>
    <w:rsid w:val="00711495"/>
    <w:rsid w:val="00711E99"/>
    <w:rsid w:val="00716610"/>
    <w:rsid w:val="00720109"/>
    <w:rsid w:val="007219FF"/>
    <w:rsid w:val="00722E93"/>
    <w:rsid w:val="00725C1A"/>
    <w:rsid w:val="007262B5"/>
    <w:rsid w:val="007276B0"/>
    <w:rsid w:val="007307E2"/>
    <w:rsid w:val="00740EAD"/>
    <w:rsid w:val="00743453"/>
    <w:rsid w:val="0074525D"/>
    <w:rsid w:val="00746502"/>
    <w:rsid w:val="00746B29"/>
    <w:rsid w:val="0074758D"/>
    <w:rsid w:val="00751AC1"/>
    <w:rsid w:val="00753EF8"/>
    <w:rsid w:val="0075403D"/>
    <w:rsid w:val="007545E7"/>
    <w:rsid w:val="00757612"/>
    <w:rsid w:val="007605CA"/>
    <w:rsid w:val="00760ED5"/>
    <w:rsid w:val="00765791"/>
    <w:rsid w:val="007675C2"/>
    <w:rsid w:val="007704E5"/>
    <w:rsid w:val="00773F5D"/>
    <w:rsid w:val="00774E2B"/>
    <w:rsid w:val="007775A9"/>
    <w:rsid w:val="00782381"/>
    <w:rsid w:val="00785588"/>
    <w:rsid w:val="00786672"/>
    <w:rsid w:val="00790A04"/>
    <w:rsid w:val="00790E40"/>
    <w:rsid w:val="0079101D"/>
    <w:rsid w:val="0079682B"/>
    <w:rsid w:val="00796C09"/>
    <w:rsid w:val="007A312E"/>
    <w:rsid w:val="007A3650"/>
    <w:rsid w:val="007A6414"/>
    <w:rsid w:val="007B2D1B"/>
    <w:rsid w:val="007B313B"/>
    <w:rsid w:val="007C105D"/>
    <w:rsid w:val="007C42FE"/>
    <w:rsid w:val="007C4472"/>
    <w:rsid w:val="007C5246"/>
    <w:rsid w:val="007C6CBB"/>
    <w:rsid w:val="007C740F"/>
    <w:rsid w:val="007C75B8"/>
    <w:rsid w:val="007C7EA3"/>
    <w:rsid w:val="007D0016"/>
    <w:rsid w:val="007D43CE"/>
    <w:rsid w:val="007D4F68"/>
    <w:rsid w:val="007D6090"/>
    <w:rsid w:val="007D646E"/>
    <w:rsid w:val="007E172D"/>
    <w:rsid w:val="007E56F2"/>
    <w:rsid w:val="007E69A6"/>
    <w:rsid w:val="007E6E04"/>
    <w:rsid w:val="007E713E"/>
    <w:rsid w:val="007F2266"/>
    <w:rsid w:val="007F3A1A"/>
    <w:rsid w:val="007F4B29"/>
    <w:rsid w:val="008004E4"/>
    <w:rsid w:val="00803DE1"/>
    <w:rsid w:val="00803E2C"/>
    <w:rsid w:val="008060F9"/>
    <w:rsid w:val="00806A6C"/>
    <w:rsid w:val="00807348"/>
    <w:rsid w:val="0080743D"/>
    <w:rsid w:val="0080798C"/>
    <w:rsid w:val="00811C25"/>
    <w:rsid w:val="00811D32"/>
    <w:rsid w:val="008130E6"/>
    <w:rsid w:val="0081367B"/>
    <w:rsid w:val="00815B16"/>
    <w:rsid w:val="0081702E"/>
    <w:rsid w:val="00817F51"/>
    <w:rsid w:val="008206CE"/>
    <w:rsid w:val="008222D6"/>
    <w:rsid w:val="00823067"/>
    <w:rsid w:val="0082534D"/>
    <w:rsid w:val="00825E8B"/>
    <w:rsid w:val="00831C7F"/>
    <w:rsid w:val="008327A2"/>
    <w:rsid w:val="00837D1C"/>
    <w:rsid w:val="00840E9F"/>
    <w:rsid w:val="00842564"/>
    <w:rsid w:val="0084423E"/>
    <w:rsid w:val="00845F80"/>
    <w:rsid w:val="008475DB"/>
    <w:rsid w:val="00847D82"/>
    <w:rsid w:val="00850283"/>
    <w:rsid w:val="00850B38"/>
    <w:rsid w:val="00854365"/>
    <w:rsid w:val="00855299"/>
    <w:rsid w:val="00862ACC"/>
    <w:rsid w:val="008632F0"/>
    <w:rsid w:val="00865229"/>
    <w:rsid w:val="00865ED8"/>
    <w:rsid w:val="00866CE4"/>
    <w:rsid w:val="00870F1B"/>
    <w:rsid w:val="00871319"/>
    <w:rsid w:val="008734A7"/>
    <w:rsid w:val="0087357B"/>
    <w:rsid w:val="00873668"/>
    <w:rsid w:val="00873DD3"/>
    <w:rsid w:val="0087417C"/>
    <w:rsid w:val="008753E6"/>
    <w:rsid w:val="008754D9"/>
    <w:rsid w:val="008755D3"/>
    <w:rsid w:val="0087772A"/>
    <w:rsid w:val="00883A8F"/>
    <w:rsid w:val="00884A44"/>
    <w:rsid w:val="0089045B"/>
    <w:rsid w:val="00891E0D"/>
    <w:rsid w:val="00892885"/>
    <w:rsid w:val="00892D9F"/>
    <w:rsid w:val="00894DAB"/>
    <w:rsid w:val="00895015"/>
    <w:rsid w:val="00896A43"/>
    <w:rsid w:val="00897288"/>
    <w:rsid w:val="008A1C77"/>
    <w:rsid w:val="008A2AE1"/>
    <w:rsid w:val="008A463D"/>
    <w:rsid w:val="008A46F3"/>
    <w:rsid w:val="008A7771"/>
    <w:rsid w:val="008B0B41"/>
    <w:rsid w:val="008B0B70"/>
    <w:rsid w:val="008B6F2A"/>
    <w:rsid w:val="008C4BC3"/>
    <w:rsid w:val="008C5270"/>
    <w:rsid w:val="008C634B"/>
    <w:rsid w:val="008C6AE6"/>
    <w:rsid w:val="008D0176"/>
    <w:rsid w:val="008D0519"/>
    <w:rsid w:val="008D11A7"/>
    <w:rsid w:val="008D14C8"/>
    <w:rsid w:val="008D27C2"/>
    <w:rsid w:val="008D4F19"/>
    <w:rsid w:val="008D59A5"/>
    <w:rsid w:val="008E31D1"/>
    <w:rsid w:val="008E554A"/>
    <w:rsid w:val="008F7CE1"/>
    <w:rsid w:val="009002EC"/>
    <w:rsid w:val="00901E15"/>
    <w:rsid w:val="0090425C"/>
    <w:rsid w:val="00911BAE"/>
    <w:rsid w:val="009144F9"/>
    <w:rsid w:val="00914AD3"/>
    <w:rsid w:val="00915C50"/>
    <w:rsid w:val="00916801"/>
    <w:rsid w:val="00917FAC"/>
    <w:rsid w:val="00920437"/>
    <w:rsid w:val="009206E4"/>
    <w:rsid w:val="0092327C"/>
    <w:rsid w:val="0092460C"/>
    <w:rsid w:val="00932121"/>
    <w:rsid w:val="00934FC3"/>
    <w:rsid w:val="00937C25"/>
    <w:rsid w:val="00940357"/>
    <w:rsid w:val="009425F2"/>
    <w:rsid w:val="009454B7"/>
    <w:rsid w:val="009501DA"/>
    <w:rsid w:val="0095123E"/>
    <w:rsid w:val="00951AB7"/>
    <w:rsid w:val="00955241"/>
    <w:rsid w:val="0095755D"/>
    <w:rsid w:val="00962DDA"/>
    <w:rsid w:val="00964764"/>
    <w:rsid w:val="009657F1"/>
    <w:rsid w:val="00965B92"/>
    <w:rsid w:val="009679A1"/>
    <w:rsid w:val="00967C3D"/>
    <w:rsid w:val="009741BD"/>
    <w:rsid w:val="00974AF1"/>
    <w:rsid w:val="00976747"/>
    <w:rsid w:val="00983E4F"/>
    <w:rsid w:val="00985B85"/>
    <w:rsid w:val="00992724"/>
    <w:rsid w:val="00996B65"/>
    <w:rsid w:val="009A15FE"/>
    <w:rsid w:val="009A1D30"/>
    <w:rsid w:val="009B519D"/>
    <w:rsid w:val="009B572A"/>
    <w:rsid w:val="009B5961"/>
    <w:rsid w:val="009B5F9D"/>
    <w:rsid w:val="009B7F76"/>
    <w:rsid w:val="009C0DDC"/>
    <w:rsid w:val="009C2B09"/>
    <w:rsid w:val="009C2D65"/>
    <w:rsid w:val="009D0680"/>
    <w:rsid w:val="009D11DE"/>
    <w:rsid w:val="009D22DA"/>
    <w:rsid w:val="009D31D2"/>
    <w:rsid w:val="009D4ABA"/>
    <w:rsid w:val="009E03FB"/>
    <w:rsid w:val="009E5931"/>
    <w:rsid w:val="009F1024"/>
    <w:rsid w:val="009F1FCF"/>
    <w:rsid w:val="009F32EE"/>
    <w:rsid w:val="009F5BBD"/>
    <w:rsid w:val="009F74FA"/>
    <w:rsid w:val="009F79B0"/>
    <w:rsid w:val="009F7BDD"/>
    <w:rsid w:val="00A016DF"/>
    <w:rsid w:val="00A020EC"/>
    <w:rsid w:val="00A0215E"/>
    <w:rsid w:val="00A04ECC"/>
    <w:rsid w:val="00A067C3"/>
    <w:rsid w:val="00A0704C"/>
    <w:rsid w:val="00A07E54"/>
    <w:rsid w:val="00A1475E"/>
    <w:rsid w:val="00A15425"/>
    <w:rsid w:val="00A1542E"/>
    <w:rsid w:val="00A20291"/>
    <w:rsid w:val="00A21718"/>
    <w:rsid w:val="00A22CB6"/>
    <w:rsid w:val="00A2351D"/>
    <w:rsid w:val="00A2459D"/>
    <w:rsid w:val="00A24AEC"/>
    <w:rsid w:val="00A26B75"/>
    <w:rsid w:val="00A33112"/>
    <w:rsid w:val="00A33815"/>
    <w:rsid w:val="00A3399D"/>
    <w:rsid w:val="00A348F2"/>
    <w:rsid w:val="00A37268"/>
    <w:rsid w:val="00A378F1"/>
    <w:rsid w:val="00A4033F"/>
    <w:rsid w:val="00A410AD"/>
    <w:rsid w:val="00A44F45"/>
    <w:rsid w:val="00A500D3"/>
    <w:rsid w:val="00A53780"/>
    <w:rsid w:val="00A55B61"/>
    <w:rsid w:val="00A5644D"/>
    <w:rsid w:val="00A56792"/>
    <w:rsid w:val="00A618C0"/>
    <w:rsid w:val="00A62A93"/>
    <w:rsid w:val="00A62EF8"/>
    <w:rsid w:val="00A64D4F"/>
    <w:rsid w:val="00A652A0"/>
    <w:rsid w:val="00A67017"/>
    <w:rsid w:val="00A67B2C"/>
    <w:rsid w:val="00A73FAA"/>
    <w:rsid w:val="00A768B8"/>
    <w:rsid w:val="00A81E47"/>
    <w:rsid w:val="00A8201C"/>
    <w:rsid w:val="00A847EF"/>
    <w:rsid w:val="00A8553D"/>
    <w:rsid w:val="00A856AF"/>
    <w:rsid w:val="00A87810"/>
    <w:rsid w:val="00A9066B"/>
    <w:rsid w:val="00A90D86"/>
    <w:rsid w:val="00A93ACA"/>
    <w:rsid w:val="00A945A1"/>
    <w:rsid w:val="00A96E23"/>
    <w:rsid w:val="00AA3095"/>
    <w:rsid w:val="00AB1CC7"/>
    <w:rsid w:val="00AB3E0D"/>
    <w:rsid w:val="00AB45DC"/>
    <w:rsid w:val="00AB4F82"/>
    <w:rsid w:val="00AB794A"/>
    <w:rsid w:val="00AC115C"/>
    <w:rsid w:val="00AC1383"/>
    <w:rsid w:val="00AC2D63"/>
    <w:rsid w:val="00AC35D4"/>
    <w:rsid w:val="00AC3F6F"/>
    <w:rsid w:val="00AC4781"/>
    <w:rsid w:val="00AC5C81"/>
    <w:rsid w:val="00AD2999"/>
    <w:rsid w:val="00AD3A91"/>
    <w:rsid w:val="00AD5945"/>
    <w:rsid w:val="00AD59B7"/>
    <w:rsid w:val="00AD5AD1"/>
    <w:rsid w:val="00AD657D"/>
    <w:rsid w:val="00AD76EE"/>
    <w:rsid w:val="00AD7789"/>
    <w:rsid w:val="00AE2345"/>
    <w:rsid w:val="00AE416A"/>
    <w:rsid w:val="00AE5A80"/>
    <w:rsid w:val="00AF03A4"/>
    <w:rsid w:val="00AF0787"/>
    <w:rsid w:val="00AF10C8"/>
    <w:rsid w:val="00AF21E9"/>
    <w:rsid w:val="00AF2829"/>
    <w:rsid w:val="00AF587F"/>
    <w:rsid w:val="00AF5F50"/>
    <w:rsid w:val="00AF7111"/>
    <w:rsid w:val="00B005B6"/>
    <w:rsid w:val="00B012D1"/>
    <w:rsid w:val="00B05EA4"/>
    <w:rsid w:val="00B062EE"/>
    <w:rsid w:val="00B06646"/>
    <w:rsid w:val="00B072CA"/>
    <w:rsid w:val="00B07682"/>
    <w:rsid w:val="00B07C05"/>
    <w:rsid w:val="00B12096"/>
    <w:rsid w:val="00B13785"/>
    <w:rsid w:val="00B1494B"/>
    <w:rsid w:val="00B14FD3"/>
    <w:rsid w:val="00B1702F"/>
    <w:rsid w:val="00B17284"/>
    <w:rsid w:val="00B205DC"/>
    <w:rsid w:val="00B24AC9"/>
    <w:rsid w:val="00B26679"/>
    <w:rsid w:val="00B27BE1"/>
    <w:rsid w:val="00B31962"/>
    <w:rsid w:val="00B335A1"/>
    <w:rsid w:val="00B3650F"/>
    <w:rsid w:val="00B41119"/>
    <w:rsid w:val="00B415AF"/>
    <w:rsid w:val="00B438A5"/>
    <w:rsid w:val="00B45C98"/>
    <w:rsid w:val="00B472DD"/>
    <w:rsid w:val="00B520C1"/>
    <w:rsid w:val="00B53580"/>
    <w:rsid w:val="00B54665"/>
    <w:rsid w:val="00B5502B"/>
    <w:rsid w:val="00B55EF4"/>
    <w:rsid w:val="00B57CEE"/>
    <w:rsid w:val="00B62B66"/>
    <w:rsid w:val="00B633D0"/>
    <w:rsid w:val="00B72899"/>
    <w:rsid w:val="00B747CC"/>
    <w:rsid w:val="00B75C8D"/>
    <w:rsid w:val="00B76611"/>
    <w:rsid w:val="00B77155"/>
    <w:rsid w:val="00B808B7"/>
    <w:rsid w:val="00B814C2"/>
    <w:rsid w:val="00B870A1"/>
    <w:rsid w:val="00B91B1A"/>
    <w:rsid w:val="00B93CC0"/>
    <w:rsid w:val="00BA0092"/>
    <w:rsid w:val="00BA04EC"/>
    <w:rsid w:val="00BA0DC5"/>
    <w:rsid w:val="00BA1AC9"/>
    <w:rsid w:val="00BA4913"/>
    <w:rsid w:val="00BA4CF0"/>
    <w:rsid w:val="00BA56F7"/>
    <w:rsid w:val="00BA5A05"/>
    <w:rsid w:val="00BB0324"/>
    <w:rsid w:val="00BB060D"/>
    <w:rsid w:val="00BB5EEE"/>
    <w:rsid w:val="00BB698A"/>
    <w:rsid w:val="00BC0823"/>
    <w:rsid w:val="00BC08E8"/>
    <w:rsid w:val="00BC1241"/>
    <w:rsid w:val="00BC2244"/>
    <w:rsid w:val="00BC5D55"/>
    <w:rsid w:val="00BD09E1"/>
    <w:rsid w:val="00BD14F8"/>
    <w:rsid w:val="00BD2D5E"/>
    <w:rsid w:val="00BD4CAE"/>
    <w:rsid w:val="00BD520B"/>
    <w:rsid w:val="00BD52DE"/>
    <w:rsid w:val="00BE32D2"/>
    <w:rsid w:val="00BE5986"/>
    <w:rsid w:val="00BF02E7"/>
    <w:rsid w:val="00BF2E8C"/>
    <w:rsid w:val="00BF4385"/>
    <w:rsid w:val="00BF5733"/>
    <w:rsid w:val="00BF698D"/>
    <w:rsid w:val="00C01058"/>
    <w:rsid w:val="00C064CB"/>
    <w:rsid w:val="00C13DD9"/>
    <w:rsid w:val="00C1493D"/>
    <w:rsid w:val="00C17017"/>
    <w:rsid w:val="00C20FFD"/>
    <w:rsid w:val="00C245B6"/>
    <w:rsid w:val="00C24DD6"/>
    <w:rsid w:val="00C27BD6"/>
    <w:rsid w:val="00C31381"/>
    <w:rsid w:val="00C34C04"/>
    <w:rsid w:val="00C368C7"/>
    <w:rsid w:val="00C36920"/>
    <w:rsid w:val="00C371B2"/>
    <w:rsid w:val="00C40643"/>
    <w:rsid w:val="00C40F37"/>
    <w:rsid w:val="00C41EB6"/>
    <w:rsid w:val="00C42DAA"/>
    <w:rsid w:val="00C512B5"/>
    <w:rsid w:val="00C53343"/>
    <w:rsid w:val="00C5572E"/>
    <w:rsid w:val="00C55CEB"/>
    <w:rsid w:val="00C56318"/>
    <w:rsid w:val="00C57015"/>
    <w:rsid w:val="00C62307"/>
    <w:rsid w:val="00C63101"/>
    <w:rsid w:val="00C65358"/>
    <w:rsid w:val="00C6744F"/>
    <w:rsid w:val="00C7139E"/>
    <w:rsid w:val="00C71B25"/>
    <w:rsid w:val="00C762F9"/>
    <w:rsid w:val="00C77ECD"/>
    <w:rsid w:val="00C8068D"/>
    <w:rsid w:val="00C80B28"/>
    <w:rsid w:val="00C85436"/>
    <w:rsid w:val="00C85A54"/>
    <w:rsid w:val="00C90305"/>
    <w:rsid w:val="00C905A1"/>
    <w:rsid w:val="00C90F95"/>
    <w:rsid w:val="00C935F6"/>
    <w:rsid w:val="00C974C3"/>
    <w:rsid w:val="00C975DD"/>
    <w:rsid w:val="00C97F87"/>
    <w:rsid w:val="00CA0381"/>
    <w:rsid w:val="00CA040A"/>
    <w:rsid w:val="00CA0969"/>
    <w:rsid w:val="00CA09D1"/>
    <w:rsid w:val="00CA24E6"/>
    <w:rsid w:val="00CA48A8"/>
    <w:rsid w:val="00CA77CD"/>
    <w:rsid w:val="00CA7FAE"/>
    <w:rsid w:val="00CB0018"/>
    <w:rsid w:val="00CB50E9"/>
    <w:rsid w:val="00CC0C4F"/>
    <w:rsid w:val="00CC219A"/>
    <w:rsid w:val="00CC2E3D"/>
    <w:rsid w:val="00CC414F"/>
    <w:rsid w:val="00CC54C1"/>
    <w:rsid w:val="00CC5B22"/>
    <w:rsid w:val="00CC5C56"/>
    <w:rsid w:val="00CC5E3B"/>
    <w:rsid w:val="00CC6463"/>
    <w:rsid w:val="00CC705D"/>
    <w:rsid w:val="00CC705E"/>
    <w:rsid w:val="00CC73BC"/>
    <w:rsid w:val="00CD6BCC"/>
    <w:rsid w:val="00CD7366"/>
    <w:rsid w:val="00CE1D01"/>
    <w:rsid w:val="00CE48DD"/>
    <w:rsid w:val="00CE64D7"/>
    <w:rsid w:val="00CF11D1"/>
    <w:rsid w:val="00CF12C3"/>
    <w:rsid w:val="00CF2CC3"/>
    <w:rsid w:val="00CF5706"/>
    <w:rsid w:val="00D00167"/>
    <w:rsid w:val="00D005B7"/>
    <w:rsid w:val="00D010AE"/>
    <w:rsid w:val="00D05B98"/>
    <w:rsid w:val="00D10880"/>
    <w:rsid w:val="00D108AC"/>
    <w:rsid w:val="00D10C70"/>
    <w:rsid w:val="00D13042"/>
    <w:rsid w:val="00D13782"/>
    <w:rsid w:val="00D16CDB"/>
    <w:rsid w:val="00D172A9"/>
    <w:rsid w:val="00D203D5"/>
    <w:rsid w:val="00D2058C"/>
    <w:rsid w:val="00D2110B"/>
    <w:rsid w:val="00D226D3"/>
    <w:rsid w:val="00D24328"/>
    <w:rsid w:val="00D245F0"/>
    <w:rsid w:val="00D27566"/>
    <w:rsid w:val="00D3004F"/>
    <w:rsid w:val="00D32F57"/>
    <w:rsid w:val="00D335CC"/>
    <w:rsid w:val="00D34994"/>
    <w:rsid w:val="00D3593F"/>
    <w:rsid w:val="00D35EB7"/>
    <w:rsid w:val="00D3787E"/>
    <w:rsid w:val="00D46C40"/>
    <w:rsid w:val="00D47754"/>
    <w:rsid w:val="00D5369B"/>
    <w:rsid w:val="00D542A0"/>
    <w:rsid w:val="00D55D68"/>
    <w:rsid w:val="00D56326"/>
    <w:rsid w:val="00D57AF4"/>
    <w:rsid w:val="00D6079A"/>
    <w:rsid w:val="00D60B76"/>
    <w:rsid w:val="00D62428"/>
    <w:rsid w:val="00D645D6"/>
    <w:rsid w:val="00D72031"/>
    <w:rsid w:val="00D72DCB"/>
    <w:rsid w:val="00D76973"/>
    <w:rsid w:val="00D77210"/>
    <w:rsid w:val="00D813AA"/>
    <w:rsid w:val="00D819D5"/>
    <w:rsid w:val="00D82D67"/>
    <w:rsid w:val="00D849E7"/>
    <w:rsid w:val="00D86592"/>
    <w:rsid w:val="00D87754"/>
    <w:rsid w:val="00D93974"/>
    <w:rsid w:val="00D9507C"/>
    <w:rsid w:val="00D97228"/>
    <w:rsid w:val="00D976D2"/>
    <w:rsid w:val="00DA1479"/>
    <w:rsid w:val="00DA2920"/>
    <w:rsid w:val="00DA4847"/>
    <w:rsid w:val="00DB032B"/>
    <w:rsid w:val="00DB6741"/>
    <w:rsid w:val="00DB7DF9"/>
    <w:rsid w:val="00DC3F61"/>
    <w:rsid w:val="00DC43B6"/>
    <w:rsid w:val="00DC5BF2"/>
    <w:rsid w:val="00DC6730"/>
    <w:rsid w:val="00DC6FE5"/>
    <w:rsid w:val="00DD0025"/>
    <w:rsid w:val="00DD03FD"/>
    <w:rsid w:val="00DD148D"/>
    <w:rsid w:val="00DD15C9"/>
    <w:rsid w:val="00DD1BEB"/>
    <w:rsid w:val="00DD39FA"/>
    <w:rsid w:val="00DD5360"/>
    <w:rsid w:val="00DD5C18"/>
    <w:rsid w:val="00DD6811"/>
    <w:rsid w:val="00DD68D2"/>
    <w:rsid w:val="00DE0060"/>
    <w:rsid w:val="00DE0662"/>
    <w:rsid w:val="00DE0CC3"/>
    <w:rsid w:val="00DE0E12"/>
    <w:rsid w:val="00DE1B0A"/>
    <w:rsid w:val="00DE3082"/>
    <w:rsid w:val="00DE3E43"/>
    <w:rsid w:val="00DE43E5"/>
    <w:rsid w:val="00DF0CD9"/>
    <w:rsid w:val="00DF16E7"/>
    <w:rsid w:val="00DF2071"/>
    <w:rsid w:val="00DF291E"/>
    <w:rsid w:val="00DF338E"/>
    <w:rsid w:val="00DF5E88"/>
    <w:rsid w:val="00DF67F5"/>
    <w:rsid w:val="00DF7425"/>
    <w:rsid w:val="00E0033A"/>
    <w:rsid w:val="00E036AE"/>
    <w:rsid w:val="00E04CB6"/>
    <w:rsid w:val="00E054D6"/>
    <w:rsid w:val="00E05CDB"/>
    <w:rsid w:val="00E10F17"/>
    <w:rsid w:val="00E1244A"/>
    <w:rsid w:val="00E125EB"/>
    <w:rsid w:val="00E1489D"/>
    <w:rsid w:val="00E163ED"/>
    <w:rsid w:val="00E17C70"/>
    <w:rsid w:val="00E200A5"/>
    <w:rsid w:val="00E2186C"/>
    <w:rsid w:val="00E23990"/>
    <w:rsid w:val="00E24F77"/>
    <w:rsid w:val="00E25582"/>
    <w:rsid w:val="00E25B10"/>
    <w:rsid w:val="00E25BF7"/>
    <w:rsid w:val="00E32DD1"/>
    <w:rsid w:val="00E34900"/>
    <w:rsid w:val="00E34B92"/>
    <w:rsid w:val="00E34C37"/>
    <w:rsid w:val="00E354BC"/>
    <w:rsid w:val="00E356EC"/>
    <w:rsid w:val="00E41E37"/>
    <w:rsid w:val="00E4332B"/>
    <w:rsid w:val="00E452E6"/>
    <w:rsid w:val="00E458CD"/>
    <w:rsid w:val="00E45AED"/>
    <w:rsid w:val="00E46BDC"/>
    <w:rsid w:val="00E47982"/>
    <w:rsid w:val="00E51B59"/>
    <w:rsid w:val="00E52C3A"/>
    <w:rsid w:val="00E5368C"/>
    <w:rsid w:val="00E54365"/>
    <w:rsid w:val="00E555C7"/>
    <w:rsid w:val="00E56E01"/>
    <w:rsid w:val="00E6093E"/>
    <w:rsid w:val="00E62C27"/>
    <w:rsid w:val="00E64180"/>
    <w:rsid w:val="00E6441F"/>
    <w:rsid w:val="00E66B62"/>
    <w:rsid w:val="00E7071D"/>
    <w:rsid w:val="00E719C0"/>
    <w:rsid w:val="00E71D7D"/>
    <w:rsid w:val="00E73A3E"/>
    <w:rsid w:val="00E74B7C"/>
    <w:rsid w:val="00E74BBC"/>
    <w:rsid w:val="00E7673C"/>
    <w:rsid w:val="00E77C4F"/>
    <w:rsid w:val="00E80D8A"/>
    <w:rsid w:val="00E81F98"/>
    <w:rsid w:val="00E8331A"/>
    <w:rsid w:val="00E847E9"/>
    <w:rsid w:val="00E87B7A"/>
    <w:rsid w:val="00E92645"/>
    <w:rsid w:val="00E93ADD"/>
    <w:rsid w:val="00E94A83"/>
    <w:rsid w:val="00EA06CE"/>
    <w:rsid w:val="00EA0902"/>
    <w:rsid w:val="00EA3E2F"/>
    <w:rsid w:val="00EA410C"/>
    <w:rsid w:val="00EA5336"/>
    <w:rsid w:val="00EA685F"/>
    <w:rsid w:val="00EB0647"/>
    <w:rsid w:val="00EB224C"/>
    <w:rsid w:val="00EB3A77"/>
    <w:rsid w:val="00EB6774"/>
    <w:rsid w:val="00EC37AC"/>
    <w:rsid w:val="00EC45A4"/>
    <w:rsid w:val="00EC4610"/>
    <w:rsid w:val="00EC6087"/>
    <w:rsid w:val="00EC61CC"/>
    <w:rsid w:val="00ED2EEF"/>
    <w:rsid w:val="00ED3579"/>
    <w:rsid w:val="00ED49CB"/>
    <w:rsid w:val="00ED7F7E"/>
    <w:rsid w:val="00EE1CA2"/>
    <w:rsid w:val="00EE4795"/>
    <w:rsid w:val="00EF34A5"/>
    <w:rsid w:val="00EF585B"/>
    <w:rsid w:val="00EF5D46"/>
    <w:rsid w:val="00EF7439"/>
    <w:rsid w:val="00F011AC"/>
    <w:rsid w:val="00F014D3"/>
    <w:rsid w:val="00F01EE8"/>
    <w:rsid w:val="00F028AB"/>
    <w:rsid w:val="00F04A84"/>
    <w:rsid w:val="00F06AFD"/>
    <w:rsid w:val="00F07931"/>
    <w:rsid w:val="00F07973"/>
    <w:rsid w:val="00F10468"/>
    <w:rsid w:val="00F1099B"/>
    <w:rsid w:val="00F12DA0"/>
    <w:rsid w:val="00F136F0"/>
    <w:rsid w:val="00F13B60"/>
    <w:rsid w:val="00F1409C"/>
    <w:rsid w:val="00F14BB9"/>
    <w:rsid w:val="00F21602"/>
    <w:rsid w:val="00F22139"/>
    <w:rsid w:val="00F23ACA"/>
    <w:rsid w:val="00F24A6F"/>
    <w:rsid w:val="00F31ABA"/>
    <w:rsid w:val="00F329E5"/>
    <w:rsid w:val="00F34210"/>
    <w:rsid w:val="00F35762"/>
    <w:rsid w:val="00F3621E"/>
    <w:rsid w:val="00F413C0"/>
    <w:rsid w:val="00F424E9"/>
    <w:rsid w:val="00F440A0"/>
    <w:rsid w:val="00F46837"/>
    <w:rsid w:val="00F5027A"/>
    <w:rsid w:val="00F555B6"/>
    <w:rsid w:val="00F57013"/>
    <w:rsid w:val="00F601BC"/>
    <w:rsid w:val="00F60D7C"/>
    <w:rsid w:val="00F6306A"/>
    <w:rsid w:val="00F636D3"/>
    <w:rsid w:val="00F63F1A"/>
    <w:rsid w:val="00F6640F"/>
    <w:rsid w:val="00F66F71"/>
    <w:rsid w:val="00F764E0"/>
    <w:rsid w:val="00F7714C"/>
    <w:rsid w:val="00F7744F"/>
    <w:rsid w:val="00F80FB3"/>
    <w:rsid w:val="00F82890"/>
    <w:rsid w:val="00F84403"/>
    <w:rsid w:val="00F856ED"/>
    <w:rsid w:val="00F878BE"/>
    <w:rsid w:val="00F9403F"/>
    <w:rsid w:val="00F95191"/>
    <w:rsid w:val="00F9589A"/>
    <w:rsid w:val="00F95910"/>
    <w:rsid w:val="00FA34C3"/>
    <w:rsid w:val="00FA3783"/>
    <w:rsid w:val="00FB1B54"/>
    <w:rsid w:val="00FB33C3"/>
    <w:rsid w:val="00FB383D"/>
    <w:rsid w:val="00FB40A8"/>
    <w:rsid w:val="00FB7FE3"/>
    <w:rsid w:val="00FC03E1"/>
    <w:rsid w:val="00FC0646"/>
    <w:rsid w:val="00FC789D"/>
    <w:rsid w:val="00FD1E6B"/>
    <w:rsid w:val="00FD2D64"/>
    <w:rsid w:val="00FD3409"/>
    <w:rsid w:val="00FD6139"/>
    <w:rsid w:val="00FD65B5"/>
    <w:rsid w:val="00FD7164"/>
    <w:rsid w:val="00FE0464"/>
    <w:rsid w:val="00FE2683"/>
    <w:rsid w:val="00FE3D59"/>
    <w:rsid w:val="00FE6114"/>
    <w:rsid w:val="00FE61BE"/>
    <w:rsid w:val="00FF109E"/>
    <w:rsid w:val="00FF3F68"/>
    <w:rsid w:val="00FF4DBB"/>
    <w:rsid w:val="00FF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81B7"/>
  <w15:chartTrackingRefBased/>
  <w15:docId w15:val="{FC639F90-8B45-4F78-94AC-61C0BAD0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48"/>
  </w:style>
  <w:style w:type="paragraph" w:styleId="Heading1">
    <w:name w:val="heading 1"/>
    <w:basedOn w:val="Normal"/>
    <w:next w:val="Normal"/>
    <w:link w:val="Heading1Char"/>
    <w:uiPriority w:val="9"/>
    <w:qFormat/>
    <w:rsid w:val="00807348"/>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6F7752"/>
    <w:pPr>
      <w:keepNext/>
      <w:keepLines/>
      <w:spacing w:before="240" w:after="0"/>
      <w:outlineLvl w:val="1"/>
    </w:pPr>
    <w:rPr>
      <w:rFonts w:asciiTheme="majorHAnsi" w:eastAsiaTheme="majorEastAsia" w:hAnsiTheme="majorHAnsi" w:cstheme="majorBidi"/>
      <w:b/>
      <w:i/>
      <w:sz w:val="28"/>
      <w:szCs w:val="26"/>
    </w:rPr>
  </w:style>
  <w:style w:type="paragraph" w:styleId="Heading3">
    <w:name w:val="heading 3"/>
    <w:basedOn w:val="Normal"/>
    <w:next w:val="Normal"/>
    <w:link w:val="Heading3Char"/>
    <w:uiPriority w:val="9"/>
    <w:unhideWhenUsed/>
    <w:qFormat/>
    <w:rsid w:val="006F7752"/>
    <w:pPr>
      <w:keepNext/>
      <w:keepLines/>
      <w:spacing w:before="2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DB7D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CA24E6"/>
    <w:pPr>
      <w:spacing w:after="120"/>
    </w:pPr>
    <w:rPr>
      <w:rFonts w:ascii="Times New Roman" w:hAnsi="Times New Roman"/>
      <w:sz w:val="24"/>
    </w:rPr>
  </w:style>
  <w:style w:type="character" w:customStyle="1" w:styleId="BodytextChar">
    <w:name w:val="Body text Char"/>
    <w:aliases w:val="No Spacing Char,BODY TEXT Char"/>
    <w:basedOn w:val="DefaultParagraphFont"/>
    <w:link w:val="BodyText1"/>
    <w:rsid w:val="00CA24E6"/>
    <w:rPr>
      <w:rFonts w:ascii="Times New Roman" w:hAnsi="Times New Roman"/>
      <w:sz w:val="24"/>
    </w:rPr>
  </w:style>
  <w:style w:type="character" w:customStyle="1" w:styleId="Heading1Char">
    <w:name w:val="Heading 1 Char"/>
    <w:basedOn w:val="DefaultParagraphFont"/>
    <w:link w:val="Heading1"/>
    <w:uiPriority w:val="9"/>
    <w:rsid w:val="00807348"/>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6F7752"/>
    <w:rPr>
      <w:rFonts w:asciiTheme="majorHAnsi" w:eastAsiaTheme="majorEastAsia" w:hAnsiTheme="majorHAnsi" w:cstheme="majorBidi"/>
      <w:b/>
      <w:i/>
      <w:sz w:val="28"/>
      <w:szCs w:val="26"/>
    </w:rPr>
  </w:style>
  <w:style w:type="character" w:customStyle="1" w:styleId="Heading3Char">
    <w:name w:val="Heading 3 Char"/>
    <w:basedOn w:val="DefaultParagraphFont"/>
    <w:link w:val="Heading3"/>
    <w:uiPriority w:val="9"/>
    <w:rsid w:val="006F7752"/>
    <w:rPr>
      <w:rFonts w:asciiTheme="majorHAnsi" w:eastAsiaTheme="majorEastAsia" w:hAnsiTheme="majorHAnsi" w:cstheme="majorBidi"/>
      <w:sz w:val="24"/>
      <w:szCs w:val="24"/>
    </w:rPr>
  </w:style>
  <w:style w:type="paragraph" w:customStyle="1" w:styleId="Tableheader">
    <w:name w:val="Table header"/>
    <w:basedOn w:val="BodyText1"/>
    <w:link w:val="TableheaderChar"/>
    <w:qFormat/>
    <w:rsid w:val="00807348"/>
    <w:pPr>
      <w:keepNext/>
      <w:spacing w:before="240" w:line="240" w:lineRule="auto"/>
      <w:jc w:val="center"/>
    </w:pPr>
    <w:rPr>
      <w:rFonts w:ascii="Arial" w:hAnsi="Arial"/>
      <w:sz w:val="20"/>
    </w:rPr>
  </w:style>
  <w:style w:type="character" w:customStyle="1" w:styleId="TableheaderChar">
    <w:name w:val="Table header Char"/>
    <w:basedOn w:val="BodytextChar"/>
    <w:link w:val="Tableheader"/>
    <w:rsid w:val="00807348"/>
    <w:rPr>
      <w:rFonts w:ascii="Arial" w:hAnsi="Arial"/>
      <w:sz w:val="20"/>
    </w:rPr>
  </w:style>
  <w:style w:type="paragraph" w:customStyle="1" w:styleId="Figurelegend">
    <w:name w:val="Figure legend"/>
    <w:basedOn w:val="BodyText"/>
    <w:link w:val="FigurelegendChar"/>
    <w:qFormat/>
    <w:rsid w:val="00807348"/>
    <w:pPr>
      <w:spacing w:before="60" w:after="240" w:line="240" w:lineRule="auto"/>
    </w:pPr>
    <w:rPr>
      <w:rFonts w:ascii="Times New Roman" w:eastAsia="Times New Roman" w:hAnsi="Times New Roman" w:cs="Times New Roman"/>
      <w:spacing w:val="-2"/>
      <w:sz w:val="20"/>
      <w:szCs w:val="20"/>
    </w:rPr>
  </w:style>
  <w:style w:type="character" w:customStyle="1" w:styleId="FigurelegendChar">
    <w:name w:val="Figure legend Char"/>
    <w:basedOn w:val="DefaultParagraphFont"/>
    <w:link w:val="Figurelegend"/>
    <w:rsid w:val="00807348"/>
    <w:rPr>
      <w:rFonts w:ascii="Times New Roman" w:eastAsia="Times New Roman" w:hAnsi="Times New Roman" w:cs="Times New Roman"/>
      <w:spacing w:val="-2"/>
      <w:sz w:val="20"/>
      <w:szCs w:val="20"/>
    </w:rPr>
  </w:style>
  <w:style w:type="paragraph" w:styleId="FootnoteText">
    <w:name w:val="footnote text"/>
    <w:basedOn w:val="Normal"/>
    <w:link w:val="FootnoteTextChar"/>
    <w:semiHidden/>
    <w:rsid w:val="0080734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807348"/>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807348"/>
    <w:rPr>
      <w:vertAlign w:val="superscript"/>
    </w:rPr>
  </w:style>
  <w:style w:type="paragraph" w:styleId="BodyText">
    <w:name w:val="Body Text"/>
    <w:basedOn w:val="Normal"/>
    <w:link w:val="BodyTextChar0"/>
    <w:uiPriority w:val="99"/>
    <w:unhideWhenUsed/>
    <w:rsid w:val="00807348"/>
    <w:pPr>
      <w:spacing w:after="120"/>
    </w:pPr>
  </w:style>
  <w:style w:type="character" w:customStyle="1" w:styleId="BodyTextChar0">
    <w:name w:val="Body Text Char"/>
    <w:basedOn w:val="DefaultParagraphFont"/>
    <w:link w:val="BodyText"/>
    <w:uiPriority w:val="99"/>
    <w:rsid w:val="00807348"/>
  </w:style>
  <w:style w:type="character" w:styleId="Hyperlink">
    <w:name w:val="Hyperlink"/>
    <w:basedOn w:val="DefaultParagraphFont"/>
    <w:uiPriority w:val="99"/>
    <w:unhideWhenUsed/>
    <w:rsid w:val="00EC45A4"/>
    <w:rPr>
      <w:color w:val="0000FF"/>
      <w:u w:val="single"/>
    </w:rPr>
  </w:style>
  <w:style w:type="paragraph" w:styleId="NoSpacing">
    <w:name w:val="No Spacing"/>
    <w:aliases w:val="BODY TEXT,Body text"/>
    <w:qFormat/>
    <w:rsid w:val="00740EAD"/>
    <w:pPr>
      <w:spacing w:before="120" w:after="0" w:line="240" w:lineRule="auto"/>
    </w:pPr>
    <w:rPr>
      <w:rFonts w:ascii="Times New Roman" w:hAnsi="Times New Roman"/>
      <w:sz w:val="24"/>
    </w:rPr>
  </w:style>
  <w:style w:type="paragraph" w:customStyle="1" w:styleId="Tableheading">
    <w:name w:val="Table heading"/>
    <w:basedOn w:val="Normal"/>
    <w:link w:val="TableheadingChar"/>
    <w:qFormat/>
    <w:rsid w:val="00773F5D"/>
    <w:pPr>
      <w:keepNext/>
      <w:spacing w:before="240" w:after="120" w:line="240" w:lineRule="auto"/>
      <w:jc w:val="center"/>
    </w:pPr>
    <w:rPr>
      <w:rFonts w:ascii="Arial" w:eastAsia="Times New Roman" w:hAnsi="Arial" w:cs="Arial"/>
      <w:sz w:val="20"/>
      <w:szCs w:val="18"/>
      <w:lang w:eastAsia="en-GB"/>
    </w:rPr>
  </w:style>
  <w:style w:type="character" w:customStyle="1" w:styleId="TableheadingChar">
    <w:name w:val="Table heading Char"/>
    <w:basedOn w:val="DefaultParagraphFont"/>
    <w:link w:val="Tableheading"/>
    <w:rsid w:val="00773F5D"/>
    <w:rPr>
      <w:rFonts w:ascii="Arial" w:eastAsia="Times New Roman" w:hAnsi="Arial" w:cs="Arial"/>
      <w:sz w:val="20"/>
      <w:szCs w:val="18"/>
      <w:lang w:eastAsia="en-GB"/>
    </w:rPr>
  </w:style>
  <w:style w:type="character" w:styleId="HTMLCite">
    <w:name w:val="HTML Cite"/>
    <w:basedOn w:val="DefaultParagraphFont"/>
    <w:uiPriority w:val="99"/>
    <w:unhideWhenUsed/>
    <w:rsid w:val="00773F5D"/>
    <w:rPr>
      <w:i/>
      <w:iCs/>
    </w:rPr>
  </w:style>
  <w:style w:type="character" w:styleId="Strong">
    <w:name w:val="Strong"/>
    <w:basedOn w:val="DefaultParagraphFont"/>
    <w:uiPriority w:val="22"/>
    <w:qFormat/>
    <w:rsid w:val="00773F5D"/>
    <w:rPr>
      <w:b/>
      <w:bCs/>
    </w:rPr>
  </w:style>
  <w:style w:type="paragraph" w:styleId="ListParagraph">
    <w:name w:val="List Paragraph"/>
    <w:basedOn w:val="Normal"/>
    <w:uiPriority w:val="34"/>
    <w:qFormat/>
    <w:rsid w:val="00681205"/>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E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D35"/>
  </w:style>
  <w:style w:type="paragraph" w:styleId="Footer">
    <w:name w:val="footer"/>
    <w:basedOn w:val="Normal"/>
    <w:link w:val="FooterChar"/>
    <w:uiPriority w:val="99"/>
    <w:unhideWhenUsed/>
    <w:rsid w:val="006E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D35"/>
  </w:style>
  <w:style w:type="paragraph" w:styleId="TOCHeading">
    <w:name w:val="TOC Heading"/>
    <w:basedOn w:val="Heading1"/>
    <w:next w:val="Normal"/>
    <w:uiPriority w:val="39"/>
    <w:unhideWhenUsed/>
    <w:qFormat/>
    <w:rsid w:val="008F7CE1"/>
    <w:pPr>
      <w:outlineLvl w:val="9"/>
    </w:pPr>
    <w:rPr>
      <w:b w:val="0"/>
      <w:color w:val="2E74B5" w:themeColor="accent1" w:themeShade="BF"/>
      <w:sz w:val="32"/>
      <w:lang w:val="en-US"/>
    </w:rPr>
  </w:style>
  <w:style w:type="paragraph" w:styleId="TOC1">
    <w:name w:val="toc 1"/>
    <w:basedOn w:val="Normal"/>
    <w:next w:val="Normal"/>
    <w:autoRedefine/>
    <w:uiPriority w:val="39"/>
    <w:unhideWhenUsed/>
    <w:rsid w:val="00711E99"/>
    <w:pPr>
      <w:tabs>
        <w:tab w:val="right" w:leader="dot" w:pos="9016"/>
      </w:tabs>
      <w:spacing w:after="100"/>
    </w:pPr>
  </w:style>
  <w:style w:type="paragraph" w:styleId="TOC2">
    <w:name w:val="toc 2"/>
    <w:basedOn w:val="Normal"/>
    <w:next w:val="Normal"/>
    <w:autoRedefine/>
    <w:uiPriority w:val="39"/>
    <w:unhideWhenUsed/>
    <w:rsid w:val="008F7CE1"/>
    <w:pPr>
      <w:spacing w:after="100"/>
      <w:ind w:left="220"/>
    </w:pPr>
  </w:style>
  <w:style w:type="paragraph" w:styleId="TOC3">
    <w:name w:val="toc 3"/>
    <w:basedOn w:val="Normal"/>
    <w:next w:val="Normal"/>
    <w:autoRedefine/>
    <w:uiPriority w:val="39"/>
    <w:unhideWhenUsed/>
    <w:rsid w:val="008F7CE1"/>
    <w:pPr>
      <w:spacing w:after="100"/>
      <w:ind w:left="440"/>
    </w:pPr>
  </w:style>
  <w:style w:type="paragraph" w:styleId="Title">
    <w:name w:val="Title"/>
    <w:basedOn w:val="Normal"/>
    <w:next w:val="Normal"/>
    <w:link w:val="TitleChar"/>
    <w:uiPriority w:val="10"/>
    <w:qFormat/>
    <w:rsid w:val="008F7C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CE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CE1"/>
    <w:rPr>
      <w:rFonts w:ascii="Segoe UI" w:hAnsi="Segoe UI" w:cs="Segoe UI"/>
      <w:sz w:val="18"/>
      <w:szCs w:val="18"/>
    </w:rPr>
  </w:style>
  <w:style w:type="paragraph" w:customStyle="1" w:styleId="TableLegend">
    <w:name w:val="Table Legend"/>
    <w:basedOn w:val="Normal"/>
    <w:qFormat/>
    <w:rsid w:val="00452751"/>
    <w:pPr>
      <w:keepNext/>
      <w:spacing w:before="240" w:after="120" w:line="240" w:lineRule="auto"/>
      <w:ind w:left="851" w:hanging="851"/>
    </w:pPr>
    <w:rPr>
      <w:rFonts w:ascii="Arial" w:eastAsia="Calibri" w:hAnsi="Arial" w:cs="Arial"/>
      <w:sz w:val="18"/>
    </w:rPr>
  </w:style>
  <w:style w:type="character" w:styleId="FollowedHyperlink">
    <w:name w:val="FollowedHyperlink"/>
    <w:basedOn w:val="DefaultParagraphFont"/>
    <w:uiPriority w:val="99"/>
    <w:semiHidden/>
    <w:unhideWhenUsed/>
    <w:rsid w:val="00414B1F"/>
    <w:rPr>
      <w:color w:val="954F72" w:themeColor="followedHyperlink"/>
      <w:u w:val="single"/>
    </w:rPr>
  </w:style>
  <w:style w:type="character" w:customStyle="1" w:styleId="Heading4Char">
    <w:name w:val="Heading 4 Char"/>
    <w:basedOn w:val="DefaultParagraphFont"/>
    <w:link w:val="Heading4"/>
    <w:uiPriority w:val="9"/>
    <w:rsid w:val="00DB7DF9"/>
    <w:rPr>
      <w:rFonts w:asciiTheme="majorHAnsi" w:eastAsiaTheme="majorEastAsia" w:hAnsiTheme="majorHAnsi" w:cstheme="majorBidi"/>
      <w:i/>
      <w:iCs/>
      <w:color w:val="2E74B5" w:themeColor="accent1" w:themeShade="BF"/>
    </w:rPr>
  </w:style>
  <w:style w:type="paragraph" w:customStyle="1" w:styleId="EndNoteBibliography">
    <w:name w:val="EndNote Bibliography"/>
    <w:basedOn w:val="Normal"/>
    <w:link w:val="EndNoteBibliographyChar"/>
    <w:rsid w:val="00C7139E"/>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C7139E"/>
    <w:rPr>
      <w:rFonts w:ascii="Times New Roman" w:hAnsi="Times New Roman" w:cs="Times New Roman"/>
      <w:noProof/>
      <w:lang w:val="en-US"/>
    </w:rPr>
  </w:style>
  <w:style w:type="character" w:customStyle="1" w:styleId="BodyText1Char">
    <w:name w:val="Body Text1 Char"/>
    <w:basedOn w:val="DefaultParagraphFont"/>
    <w:rsid w:val="00B07C05"/>
    <w:rPr>
      <w:rFonts w:ascii="Times New Roman" w:hAnsi="Times New Roman"/>
      <w:sz w:val="24"/>
    </w:rPr>
  </w:style>
  <w:style w:type="character" w:styleId="CommentReference">
    <w:name w:val="annotation reference"/>
    <w:basedOn w:val="DefaultParagraphFont"/>
    <w:uiPriority w:val="99"/>
    <w:semiHidden/>
    <w:unhideWhenUsed/>
    <w:rsid w:val="00A5644D"/>
    <w:rPr>
      <w:sz w:val="16"/>
      <w:szCs w:val="16"/>
    </w:rPr>
  </w:style>
  <w:style w:type="paragraph" w:styleId="CommentText">
    <w:name w:val="annotation text"/>
    <w:basedOn w:val="Normal"/>
    <w:link w:val="CommentTextChar"/>
    <w:uiPriority w:val="99"/>
    <w:unhideWhenUsed/>
    <w:rsid w:val="00A5644D"/>
    <w:pPr>
      <w:spacing w:line="240" w:lineRule="auto"/>
    </w:pPr>
    <w:rPr>
      <w:sz w:val="20"/>
      <w:szCs w:val="20"/>
    </w:rPr>
  </w:style>
  <w:style w:type="character" w:customStyle="1" w:styleId="CommentTextChar">
    <w:name w:val="Comment Text Char"/>
    <w:basedOn w:val="DefaultParagraphFont"/>
    <w:link w:val="CommentText"/>
    <w:uiPriority w:val="99"/>
    <w:rsid w:val="00A5644D"/>
    <w:rPr>
      <w:sz w:val="20"/>
      <w:szCs w:val="20"/>
    </w:rPr>
  </w:style>
  <w:style w:type="paragraph" w:styleId="CommentSubject">
    <w:name w:val="annotation subject"/>
    <w:basedOn w:val="CommentText"/>
    <w:next w:val="CommentText"/>
    <w:link w:val="CommentSubjectChar"/>
    <w:uiPriority w:val="99"/>
    <w:semiHidden/>
    <w:unhideWhenUsed/>
    <w:rsid w:val="00A5644D"/>
    <w:rPr>
      <w:b/>
      <w:bCs/>
    </w:rPr>
  </w:style>
  <w:style w:type="character" w:customStyle="1" w:styleId="CommentSubjectChar">
    <w:name w:val="Comment Subject Char"/>
    <w:basedOn w:val="CommentTextChar"/>
    <w:link w:val="CommentSubject"/>
    <w:uiPriority w:val="99"/>
    <w:semiHidden/>
    <w:rsid w:val="00A5644D"/>
    <w:rPr>
      <w:b/>
      <w:bCs/>
      <w:sz w:val="20"/>
      <w:szCs w:val="20"/>
    </w:rPr>
  </w:style>
  <w:style w:type="character" w:styleId="UnresolvedMention">
    <w:name w:val="Unresolved Mention"/>
    <w:basedOn w:val="DefaultParagraphFont"/>
    <w:uiPriority w:val="99"/>
    <w:semiHidden/>
    <w:unhideWhenUsed/>
    <w:rsid w:val="00CF12C3"/>
    <w:rPr>
      <w:color w:val="605E5C"/>
      <w:shd w:val="clear" w:color="auto" w:fill="E1DFDD"/>
    </w:rPr>
  </w:style>
  <w:style w:type="paragraph" w:styleId="Revision">
    <w:name w:val="Revision"/>
    <w:hidden/>
    <w:uiPriority w:val="99"/>
    <w:semiHidden/>
    <w:rsid w:val="00033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01">
      <w:bodyDiv w:val="1"/>
      <w:marLeft w:val="0"/>
      <w:marRight w:val="0"/>
      <w:marTop w:val="0"/>
      <w:marBottom w:val="0"/>
      <w:divBdr>
        <w:top w:val="none" w:sz="0" w:space="0" w:color="auto"/>
        <w:left w:val="none" w:sz="0" w:space="0" w:color="auto"/>
        <w:bottom w:val="none" w:sz="0" w:space="0" w:color="auto"/>
        <w:right w:val="none" w:sz="0" w:space="0" w:color="auto"/>
      </w:divBdr>
    </w:div>
    <w:div w:id="29766422">
      <w:bodyDiv w:val="1"/>
      <w:marLeft w:val="0"/>
      <w:marRight w:val="0"/>
      <w:marTop w:val="0"/>
      <w:marBottom w:val="0"/>
      <w:divBdr>
        <w:top w:val="none" w:sz="0" w:space="0" w:color="auto"/>
        <w:left w:val="none" w:sz="0" w:space="0" w:color="auto"/>
        <w:bottom w:val="none" w:sz="0" w:space="0" w:color="auto"/>
        <w:right w:val="none" w:sz="0" w:space="0" w:color="auto"/>
      </w:divBdr>
    </w:div>
    <w:div w:id="48110579">
      <w:bodyDiv w:val="1"/>
      <w:marLeft w:val="0"/>
      <w:marRight w:val="0"/>
      <w:marTop w:val="0"/>
      <w:marBottom w:val="0"/>
      <w:divBdr>
        <w:top w:val="none" w:sz="0" w:space="0" w:color="auto"/>
        <w:left w:val="none" w:sz="0" w:space="0" w:color="auto"/>
        <w:bottom w:val="none" w:sz="0" w:space="0" w:color="auto"/>
        <w:right w:val="none" w:sz="0" w:space="0" w:color="auto"/>
      </w:divBdr>
    </w:div>
    <w:div w:id="69157383">
      <w:bodyDiv w:val="1"/>
      <w:marLeft w:val="0"/>
      <w:marRight w:val="0"/>
      <w:marTop w:val="0"/>
      <w:marBottom w:val="0"/>
      <w:divBdr>
        <w:top w:val="none" w:sz="0" w:space="0" w:color="auto"/>
        <w:left w:val="none" w:sz="0" w:space="0" w:color="auto"/>
        <w:bottom w:val="none" w:sz="0" w:space="0" w:color="auto"/>
        <w:right w:val="none" w:sz="0" w:space="0" w:color="auto"/>
      </w:divBdr>
    </w:div>
    <w:div w:id="71128000">
      <w:bodyDiv w:val="1"/>
      <w:marLeft w:val="0"/>
      <w:marRight w:val="0"/>
      <w:marTop w:val="0"/>
      <w:marBottom w:val="0"/>
      <w:divBdr>
        <w:top w:val="none" w:sz="0" w:space="0" w:color="auto"/>
        <w:left w:val="none" w:sz="0" w:space="0" w:color="auto"/>
        <w:bottom w:val="none" w:sz="0" w:space="0" w:color="auto"/>
        <w:right w:val="none" w:sz="0" w:space="0" w:color="auto"/>
      </w:divBdr>
    </w:div>
    <w:div w:id="71582211">
      <w:bodyDiv w:val="1"/>
      <w:marLeft w:val="0"/>
      <w:marRight w:val="0"/>
      <w:marTop w:val="0"/>
      <w:marBottom w:val="0"/>
      <w:divBdr>
        <w:top w:val="none" w:sz="0" w:space="0" w:color="auto"/>
        <w:left w:val="none" w:sz="0" w:space="0" w:color="auto"/>
        <w:bottom w:val="none" w:sz="0" w:space="0" w:color="auto"/>
        <w:right w:val="none" w:sz="0" w:space="0" w:color="auto"/>
      </w:divBdr>
    </w:div>
    <w:div w:id="85618395">
      <w:bodyDiv w:val="1"/>
      <w:marLeft w:val="0"/>
      <w:marRight w:val="0"/>
      <w:marTop w:val="0"/>
      <w:marBottom w:val="0"/>
      <w:divBdr>
        <w:top w:val="none" w:sz="0" w:space="0" w:color="auto"/>
        <w:left w:val="none" w:sz="0" w:space="0" w:color="auto"/>
        <w:bottom w:val="none" w:sz="0" w:space="0" w:color="auto"/>
        <w:right w:val="none" w:sz="0" w:space="0" w:color="auto"/>
      </w:divBdr>
    </w:div>
    <w:div w:id="86927397">
      <w:bodyDiv w:val="1"/>
      <w:marLeft w:val="0"/>
      <w:marRight w:val="0"/>
      <w:marTop w:val="0"/>
      <w:marBottom w:val="0"/>
      <w:divBdr>
        <w:top w:val="none" w:sz="0" w:space="0" w:color="auto"/>
        <w:left w:val="none" w:sz="0" w:space="0" w:color="auto"/>
        <w:bottom w:val="none" w:sz="0" w:space="0" w:color="auto"/>
        <w:right w:val="none" w:sz="0" w:space="0" w:color="auto"/>
      </w:divBdr>
    </w:div>
    <w:div w:id="95492018">
      <w:bodyDiv w:val="1"/>
      <w:marLeft w:val="0"/>
      <w:marRight w:val="0"/>
      <w:marTop w:val="0"/>
      <w:marBottom w:val="0"/>
      <w:divBdr>
        <w:top w:val="none" w:sz="0" w:space="0" w:color="auto"/>
        <w:left w:val="none" w:sz="0" w:space="0" w:color="auto"/>
        <w:bottom w:val="none" w:sz="0" w:space="0" w:color="auto"/>
        <w:right w:val="none" w:sz="0" w:space="0" w:color="auto"/>
      </w:divBdr>
    </w:div>
    <w:div w:id="127477909">
      <w:bodyDiv w:val="1"/>
      <w:marLeft w:val="0"/>
      <w:marRight w:val="0"/>
      <w:marTop w:val="0"/>
      <w:marBottom w:val="0"/>
      <w:divBdr>
        <w:top w:val="none" w:sz="0" w:space="0" w:color="auto"/>
        <w:left w:val="none" w:sz="0" w:space="0" w:color="auto"/>
        <w:bottom w:val="none" w:sz="0" w:space="0" w:color="auto"/>
        <w:right w:val="none" w:sz="0" w:space="0" w:color="auto"/>
      </w:divBdr>
    </w:div>
    <w:div w:id="128595722">
      <w:bodyDiv w:val="1"/>
      <w:marLeft w:val="0"/>
      <w:marRight w:val="0"/>
      <w:marTop w:val="0"/>
      <w:marBottom w:val="0"/>
      <w:divBdr>
        <w:top w:val="none" w:sz="0" w:space="0" w:color="auto"/>
        <w:left w:val="none" w:sz="0" w:space="0" w:color="auto"/>
        <w:bottom w:val="none" w:sz="0" w:space="0" w:color="auto"/>
        <w:right w:val="none" w:sz="0" w:space="0" w:color="auto"/>
      </w:divBdr>
    </w:div>
    <w:div w:id="153961206">
      <w:bodyDiv w:val="1"/>
      <w:marLeft w:val="0"/>
      <w:marRight w:val="0"/>
      <w:marTop w:val="0"/>
      <w:marBottom w:val="0"/>
      <w:divBdr>
        <w:top w:val="none" w:sz="0" w:space="0" w:color="auto"/>
        <w:left w:val="none" w:sz="0" w:space="0" w:color="auto"/>
        <w:bottom w:val="none" w:sz="0" w:space="0" w:color="auto"/>
        <w:right w:val="none" w:sz="0" w:space="0" w:color="auto"/>
      </w:divBdr>
    </w:div>
    <w:div w:id="192690306">
      <w:bodyDiv w:val="1"/>
      <w:marLeft w:val="0"/>
      <w:marRight w:val="0"/>
      <w:marTop w:val="0"/>
      <w:marBottom w:val="0"/>
      <w:divBdr>
        <w:top w:val="none" w:sz="0" w:space="0" w:color="auto"/>
        <w:left w:val="none" w:sz="0" w:space="0" w:color="auto"/>
        <w:bottom w:val="none" w:sz="0" w:space="0" w:color="auto"/>
        <w:right w:val="none" w:sz="0" w:space="0" w:color="auto"/>
      </w:divBdr>
    </w:div>
    <w:div w:id="198710072">
      <w:bodyDiv w:val="1"/>
      <w:marLeft w:val="0"/>
      <w:marRight w:val="0"/>
      <w:marTop w:val="0"/>
      <w:marBottom w:val="0"/>
      <w:divBdr>
        <w:top w:val="none" w:sz="0" w:space="0" w:color="auto"/>
        <w:left w:val="none" w:sz="0" w:space="0" w:color="auto"/>
        <w:bottom w:val="none" w:sz="0" w:space="0" w:color="auto"/>
        <w:right w:val="none" w:sz="0" w:space="0" w:color="auto"/>
      </w:divBdr>
    </w:div>
    <w:div w:id="203829076">
      <w:bodyDiv w:val="1"/>
      <w:marLeft w:val="0"/>
      <w:marRight w:val="0"/>
      <w:marTop w:val="0"/>
      <w:marBottom w:val="0"/>
      <w:divBdr>
        <w:top w:val="none" w:sz="0" w:space="0" w:color="auto"/>
        <w:left w:val="none" w:sz="0" w:space="0" w:color="auto"/>
        <w:bottom w:val="none" w:sz="0" w:space="0" w:color="auto"/>
        <w:right w:val="none" w:sz="0" w:space="0" w:color="auto"/>
      </w:divBdr>
    </w:div>
    <w:div w:id="214511752">
      <w:bodyDiv w:val="1"/>
      <w:marLeft w:val="0"/>
      <w:marRight w:val="0"/>
      <w:marTop w:val="0"/>
      <w:marBottom w:val="0"/>
      <w:divBdr>
        <w:top w:val="none" w:sz="0" w:space="0" w:color="auto"/>
        <w:left w:val="none" w:sz="0" w:space="0" w:color="auto"/>
        <w:bottom w:val="none" w:sz="0" w:space="0" w:color="auto"/>
        <w:right w:val="none" w:sz="0" w:space="0" w:color="auto"/>
      </w:divBdr>
    </w:div>
    <w:div w:id="235015122">
      <w:bodyDiv w:val="1"/>
      <w:marLeft w:val="0"/>
      <w:marRight w:val="0"/>
      <w:marTop w:val="0"/>
      <w:marBottom w:val="0"/>
      <w:divBdr>
        <w:top w:val="none" w:sz="0" w:space="0" w:color="auto"/>
        <w:left w:val="none" w:sz="0" w:space="0" w:color="auto"/>
        <w:bottom w:val="none" w:sz="0" w:space="0" w:color="auto"/>
        <w:right w:val="none" w:sz="0" w:space="0" w:color="auto"/>
      </w:divBdr>
    </w:div>
    <w:div w:id="248345757">
      <w:bodyDiv w:val="1"/>
      <w:marLeft w:val="0"/>
      <w:marRight w:val="0"/>
      <w:marTop w:val="0"/>
      <w:marBottom w:val="0"/>
      <w:divBdr>
        <w:top w:val="none" w:sz="0" w:space="0" w:color="auto"/>
        <w:left w:val="none" w:sz="0" w:space="0" w:color="auto"/>
        <w:bottom w:val="none" w:sz="0" w:space="0" w:color="auto"/>
        <w:right w:val="none" w:sz="0" w:space="0" w:color="auto"/>
      </w:divBdr>
    </w:div>
    <w:div w:id="276373771">
      <w:bodyDiv w:val="1"/>
      <w:marLeft w:val="0"/>
      <w:marRight w:val="0"/>
      <w:marTop w:val="0"/>
      <w:marBottom w:val="0"/>
      <w:divBdr>
        <w:top w:val="none" w:sz="0" w:space="0" w:color="auto"/>
        <w:left w:val="none" w:sz="0" w:space="0" w:color="auto"/>
        <w:bottom w:val="none" w:sz="0" w:space="0" w:color="auto"/>
        <w:right w:val="none" w:sz="0" w:space="0" w:color="auto"/>
      </w:divBdr>
    </w:div>
    <w:div w:id="282663579">
      <w:bodyDiv w:val="1"/>
      <w:marLeft w:val="0"/>
      <w:marRight w:val="0"/>
      <w:marTop w:val="0"/>
      <w:marBottom w:val="0"/>
      <w:divBdr>
        <w:top w:val="none" w:sz="0" w:space="0" w:color="auto"/>
        <w:left w:val="none" w:sz="0" w:space="0" w:color="auto"/>
        <w:bottom w:val="none" w:sz="0" w:space="0" w:color="auto"/>
        <w:right w:val="none" w:sz="0" w:space="0" w:color="auto"/>
      </w:divBdr>
    </w:div>
    <w:div w:id="290862799">
      <w:bodyDiv w:val="1"/>
      <w:marLeft w:val="0"/>
      <w:marRight w:val="0"/>
      <w:marTop w:val="0"/>
      <w:marBottom w:val="0"/>
      <w:divBdr>
        <w:top w:val="none" w:sz="0" w:space="0" w:color="auto"/>
        <w:left w:val="none" w:sz="0" w:space="0" w:color="auto"/>
        <w:bottom w:val="none" w:sz="0" w:space="0" w:color="auto"/>
        <w:right w:val="none" w:sz="0" w:space="0" w:color="auto"/>
      </w:divBdr>
    </w:div>
    <w:div w:id="300888847">
      <w:bodyDiv w:val="1"/>
      <w:marLeft w:val="0"/>
      <w:marRight w:val="0"/>
      <w:marTop w:val="0"/>
      <w:marBottom w:val="0"/>
      <w:divBdr>
        <w:top w:val="none" w:sz="0" w:space="0" w:color="auto"/>
        <w:left w:val="none" w:sz="0" w:space="0" w:color="auto"/>
        <w:bottom w:val="none" w:sz="0" w:space="0" w:color="auto"/>
        <w:right w:val="none" w:sz="0" w:space="0" w:color="auto"/>
      </w:divBdr>
    </w:div>
    <w:div w:id="302589159">
      <w:bodyDiv w:val="1"/>
      <w:marLeft w:val="0"/>
      <w:marRight w:val="0"/>
      <w:marTop w:val="0"/>
      <w:marBottom w:val="0"/>
      <w:divBdr>
        <w:top w:val="none" w:sz="0" w:space="0" w:color="auto"/>
        <w:left w:val="none" w:sz="0" w:space="0" w:color="auto"/>
        <w:bottom w:val="none" w:sz="0" w:space="0" w:color="auto"/>
        <w:right w:val="none" w:sz="0" w:space="0" w:color="auto"/>
      </w:divBdr>
    </w:div>
    <w:div w:id="325403142">
      <w:bodyDiv w:val="1"/>
      <w:marLeft w:val="0"/>
      <w:marRight w:val="0"/>
      <w:marTop w:val="0"/>
      <w:marBottom w:val="0"/>
      <w:divBdr>
        <w:top w:val="none" w:sz="0" w:space="0" w:color="auto"/>
        <w:left w:val="none" w:sz="0" w:space="0" w:color="auto"/>
        <w:bottom w:val="none" w:sz="0" w:space="0" w:color="auto"/>
        <w:right w:val="none" w:sz="0" w:space="0" w:color="auto"/>
      </w:divBdr>
    </w:div>
    <w:div w:id="326832623">
      <w:bodyDiv w:val="1"/>
      <w:marLeft w:val="0"/>
      <w:marRight w:val="0"/>
      <w:marTop w:val="0"/>
      <w:marBottom w:val="0"/>
      <w:divBdr>
        <w:top w:val="none" w:sz="0" w:space="0" w:color="auto"/>
        <w:left w:val="none" w:sz="0" w:space="0" w:color="auto"/>
        <w:bottom w:val="none" w:sz="0" w:space="0" w:color="auto"/>
        <w:right w:val="none" w:sz="0" w:space="0" w:color="auto"/>
      </w:divBdr>
    </w:div>
    <w:div w:id="363288276">
      <w:bodyDiv w:val="1"/>
      <w:marLeft w:val="0"/>
      <w:marRight w:val="0"/>
      <w:marTop w:val="0"/>
      <w:marBottom w:val="0"/>
      <w:divBdr>
        <w:top w:val="none" w:sz="0" w:space="0" w:color="auto"/>
        <w:left w:val="none" w:sz="0" w:space="0" w:color="auto"/>
        <w:bottom w:val="none" w:sz="0" w:space="0" w:color="auto"/>
        <w:right w:val="none" w:sz="0" w:space="0" w:color="auto"/>
      </w:divBdr>
    </w:div>
    <w:div w:id="376703301">
      <w:bodyDiv w:val="1"/>
      <w:marLeft w:val="0"/>
      <w:marRight w:val="0"/>
      <w:marTop w:val="0"/>
      <w:marBottom w:val="0"/>
      <w:divBdr>
        <w:top w:val="none" w:sz="0" w:space="0" w:color="auto"/>
        <w:left w:val="none" w:sz="0" w:space="0" w:color="auto"/>
        <w:bottom w:val="none" w:sz="0" w:space="0" w:color="auto"/>
        <w:right w:val="none" w:sz="0" w:space="0" w:color="auto"/>
      </w:divBdr>
    </w:div>
    <w:div w:id="391275070">
      <w:bodyDiv w:val="1"/>
      <w:marLeft w:val="0"/>
      <w:marRight w:val="0"/>
      <w:marTop w:val="0"/>
      <w:marBottom w:val="0"/>
      <w:divBdr>
        <w:top w:val="none" w:sz="0" w:space="0" w:color="auto"/>
        <w:left w:val="none" w:sz="0" w:space="0" w:color="auto"/>
        <w:bottom w:val="none" w:sz="0" w:space="0" w:color="auto"/>
        <w:right w:val="none" w:sz="0" w:space="0" w:color="auto"/>
      </w:divBdr>
    </w:div>
    <w:div w:id="470178375">
      <w:bodyDiv w:val="1"/>
      <w:marLeft w:val="0"/>
      <w:marRight w:val="0"/>
      <w:marTop w:val="0"/>
      <w:marBottom w:val="0"/>
      <w:divBdr>
        <w:top w:val="none" w:sz="0" w:space="0" w:color="auto"/>
        <w:left w:val="none" w:sz="0" w:space="0" w:color="auto"/>
        <w:bottom w:val="none" w:sz="0" w:space="0" w:color="auto"/>
        <w:right w:val="none" w:sz="0" w:space="0" w:color="auto"/>
      </w:divBdr>
    </w:div>
    <w:div w:id="512113294">
      <w:bodyDiv w:val="1"/>
      <w:marLeft w:val="0"/>
      <w:marRight w:val="0"/>
      <w:marTop w:val="0"/>
      <w:marBottom w:val="0"/>
      <w:divBdr>
        <w:top w:val="none" w:sz="0" w:space="0" w:color="auto"/>
        <w:left w:val="none" w:sz="0" w:space="0" w:color="auto"/>
        <w:bottom w:val="none" w:sz="0" w:space="0" w:color="auto"/>
        <w:right w:val="none" w:sz="0" w:space="0" w:color="auto"/>
      </w:divBdr>
    </w:div>
    <w:div w:id="522207991">
      <w:bodyDiv w:val="1"/>
      <w:marLeft w:val="0"/>
      <w:marRight w:val="0"/>
      <w:marTop w:val="0"/>
      <w:marBottom w:val="0"/>
      <w:divBdr>
        <w:top w:val="none" w:sz="0" w:space="0" w:color="auto"/>
        <w:left w:val="none" w:sz="0" w:space="0" w:color="auto"/>
        <w:bottom w:val="none" w:sz="0" w:space="0" w:color="auto"/>
        <w:right w:val="none" w:sz="0" w:space="0" w:color="auto"/>
      </w:divBdr>
    </w:div>
    <w:div w:id="585768718">
      <w:bodyDiv w:val="1"/>
      <w:marLeft w:val="0"/>
      <w:marRight w:val="0"/>
      <w:marTop w:val="0"/>
      <w:marBottom w:val="0"/>
      <w:divBdr>
        <w:top w:val="none" w:sz="0" w:space="0" w:color="auto"/>
        <w:left w:val="none" w:sz="0" w:space="0" w:color="auto"/>
        <w:bottom w:val="none" w:sz="0" w:space="0" w:color="auto"/>
        <w:right w:val="none" w:sz="0" w:space="0" w:color="auto"/>
      </w:divBdr>
    </w:div>
    <w:div w:id="587158561">
      <w:bodyDiv w:val="1"/>
      <w:marLeft w:val="0"/>
      <w:marRight w:val="0"/>
      <w:marTop w:val="0"/>
      <w:marBottom w:val="0"/>
      <w:divBdr>
        <w:top w:val="none" w:sz="0" w:space="0" w:color="auto"/>
        <w:left w:val="none" w:sz="0" w:space="0" w:color="auto"/>
        <w:bottom w:val="none" w:sz="0" w:space="0" w:color="auto"/>
        <w:right w:val="none" w:sz="0" w:space="0" w:color="auto"/>
      </w:divBdr>
    </w:div>
    <w:div w:id="599602112">
      <w:bodyDiv w:val="1"/>
      <w:marLeft w:val="0"/>
      <w:marRight w:val="0"/>
      <w:marTop w:val="0"/>
      <w:marBottom w:val="0"/>
      <w:divBdr>
        <w:top w:val="none" w:sz="0" w:space="0" w:color="auto"/>
        <w:left w:val="none" w:sz="0" w:space="0" w:color="auto"/>
        <w:bottom w:val="none" w:sz="0" w:space="0" w:color="auto"/>
        <w:right w:val="none" w:sz="0" w:space="0" w:color="auto"/>
      </w:divBdr>
    </w:div>
    <w:div w:id="632057708">
      <w:bodyDiv w:val="1"/>
      <w:marLeft w:val="0"/>
      <w:marRight w:val="0"/>
      <w:marTop w:val="0"/>
      <w:marBottom w:val="0"/>
      <w:divBdr>
        <w:top w:val="none" w:sz="0" w:space="0" w:color="auto"/>
        <w:left w:val="none" w:sz="0" w:space="0" w:color="auto"/>
        <w:bottom w:val="none" w:sz="0" w:space="0" w:color="auto"/>
        <w:right w:val="none" w:sz="0" w:space="0" w:color="auto"/>
      </w:divBdr>
    </w:div>
    <w:div w:id="648286535">
      <w:bodyDiv w:val="1"/>
      <w:marLeft w:val="0"/>
      <w:marRight w:val="0"/>
      <w:marTop w:val="0"/>
      <w:marBottom w:val="0"/>
      <w:divBdr>
        <w:top w:val="none" w:sz="0" w:space="0" w:color="auto"/>
        <w:left w:val="none" w:sz="0" w:space="0" w:color="auto"/>
        <w:bottom w:val="none" w:sz="0" w:space="0" w:color="auto"/>
        <w:right w:val="none" w:sz="0" w:space="0" w:color="auto"/>
      </w:divBdr>
    </w:div>
    <w:div w:id="655303870">
      <w:bodyDiv w:val="1"/>
      <w:marLeft w:val="0"/>
      <w:marRight w:val="0"/>
      <w:marTop w:val="0"/>
      <w:marBottom w:val="0"/>
      <w:divBdr>
        <w:top w:val="none" w:sz="0" w:space="0" w:color="auto"/>
        <w:left w:val="none" w:sz="0" w:space="0" w:color="auto"/>
        <w:bottom w:val="none" w:sz="0" w:space="0" w:color="auto"/>
        <w:right w:val="none" w:sz="0" w:space="0" w:color="auto"/>
      </w:divBdr>
    </w:div>
    <w:div w:id="675503435">
      <w:bodyDiv w:val="1"/>
      <w:marLeft w:val="0"/>
      <w:marRight w:val="0"/>
      <w:marTop w:val="0"/>
      <w:marBottom w:val="0"/>
      <w:divBdr>
        <w:top w:val="none" w:sz="0" w:space="0" w:color="auto"/>
        <w:left w:val="none" w:sz="0" w:space="0" w:color="auto"/>
        <w:bottom w:val="none" w:sz="0" w:space="0" w:color="auto"/>
        <w:right w:val="none" w:sz="0" w:space="0" w:color="auto"/>
      </w:divBdr>
    </w:div>
    <w:div w:id="683244404">
      <w:bodyDiv w:val="1"/>
      <w:marLeft w:val="0"/>
      <w:marRight w:val="0"/>
      <w:marTop w:val="0"/>
      <w:marBottom w:val="0"/>
      <w:divBdr>
        <w:top w:val="none" w:sz="0" w:space="0" w:color="auto"/>
        <w:left w:val="none" w:sz="0" w:space="0" w:color="auto"/>
        <w:bottom w:val="none" w:sz="0" w:space="0" w:color="auto"/>
        <w:right w:val="none" w:sz="0" w:space="0" w:color="auto"/>
      </w:divBdr>
    </w:div>
    <w:div w:id="713694120">
      <w:bodyDiv w:val="1"/>
      <w:marLeft w:val="0"/>
      <w:marRight w:val="0"/>
      <w:marTop w:val="0"/>
      <w:marBottom w:val="0"/>
      <w:divBdr>
        <w:top w:val="none" w:sz="0" w:space="0" w:color="auto"/>
        <w:left w:val="none" w:sz="0" w:space="0" w:color="auto"/>
        <w:bottom w:val="none" w:sz="0" w:space="0" w:color="auto"/>
        <w:right w:val="none" w:sz="0" w:space="0" w:color="auto"/>
      </w:divBdr>
    </w:div>
    <w:div w:id="724643744">
      <w:bodyDiv w:val="1"/>
      <w:marLeft w:val="0"/>
      <w:marRight w:val="0"/>
      <w:marTop w:val="0"/>
      <w:marBottom w:val="0"/>
      <w:divBdr>
        <w:top w:val="none" w:sz="0" w:space="0" w:color="auto"/>
        <w:left w:val="none" w:sz="0" w:space="0" w:color="auto"/>
        <w:bottom w:val="none" w:sz="0" w:space="0" w:color="auto"/>
        <w:right w:val="none" w:sz="0" w:space="0" w:color="auto"/>
      </w:divBdr>
    </w:div>
    <w:div w:id="725105536">
      <w:bodyDiv w:val="1"/>
      <w:marLeft w:val="0"/>
      <w:marRight w:val="0"/>
      <w:marTop w:val="0"/>
      <w:marBottom w:val="0"/>
      <w:divBdr>
        <w:top w:val="none" w:sz="0" w:space="0" w:color="auto"/>
        <w:left w:val="none" w:sz="0" w:space="0" w:color="auto"/>
        <w:bottom w:val="none" w:sz="0" w:space="0" w:color="auto"/>
        <w:right w:val="none" w:sz="0" w:space="0" w:color="auto"/>
      </w:divBdr>
    </w:div>
    <w:div w:id="747726879">
      <w:bodyDiv w:val="1"/>
      <w:marLeft w:val="0"/>
      <w:marRight w:val="0"/>
      <w:marTop w:val="0"/>
      <w:marBottom w:val="0"/>
      <w:divBdr>
        <w:top w:val="none" w:sz="0" w:space="0" w:color="auto"/>
        <w:left w:val="none" w:sz="0" w:space="0" w:color="auto"/>
        <w:bottom w:val="none" w:sz="0" w:space="0" w:color="auto"/>
        <w:right w:val="none" w:sz="0" w:space="0" w:color="auto"/>
      </w:divBdr>
      <w:divsChild>
        <w:div w:id="1789279913">
          <w:marLeft w:val="0"/>
          <w:marRight w:val="0"/>
          <w:marTop w:val="0"/>
          <w:marBottom w:val="0"/>
          <w:divBdr>
            <w:top w:val="none" w:sz="0" w:space="0" w:color="auto"/>
            <w:left w:val="none" w:sz="0" w:space="0" w:color="auto"/>
            <w:bottom w:val="none" w:sz="0" w:space="0" w:color="auto"/>
            <w:right w:val="none" w:sz="0" w:space="0" w:color="auto"/>
          </w:divBdr>
        </w:div>
      </w:divsChild>
    </w:div>
    <w:div w:id="747767460">
      <w:bodyDiv w:val="1"/>
      <w:marLeft w:val="0"/>
      <w:marRight w:val="0"/>
      <w:marTop w:val="0"/>
      <w:marBottom w:val="0"/>
      <w:divBdr>
        <w:top w:val="none" w:sz="0" w:space="0" w:color="auto"/>
        <w:left w:val="none" w:sz="0" w:space="0" w:color="auto"/>
        <w:bottom w:val="none" w:sz="0" w:space="0" w:color="auto"/>
        <w:right w:val="none" w:sz="0" w:space="0" w:color="auto"/>
      </w:divBdr>
    </w:div>
    <w:div w:id="768626820">
      <w:bodyDiv w:val="1"/>
      <w:marLeft w:val="0"/>
      <w:marRight w:val="0"/>
      <w:marTop w:val="0"/>
      <w:marBottom w:val="0"/>
      <w:divBdr>
        <w:top w:val="none" w:sz="0" w:space="0" w:color="auto"/>
        <w:left w:val="none" w:sz="0" w:space="0" w:color="auto"/>
        <w:bottom w:val="none" w:sz="0" w:space="0" w:color="auto"/>
        <w:right w:val="none" w:sz="0" w:space="0" w:color="auto"/>
      </w:divBdr>
    </w:div>
    <w:div w:id="822698501">
      <w:bodyDiv w:val="1"/>
      <w:marLeft w:val="0"/>
      <w:marRight w:val="0"/>
      <w:marTop w:val="0"/>
      <w:marBottom w:val="0"/>
      <w:divBdr>
        <w:top w:val="none" w:sz="0" w:space="0" w:color="auto"/>
        <w:left w:val="none" w:sz="0" w:space="0" w:color="auto"/>
        <w:bottom w:val="none" w:sz="0" w:space="0" w:color="auto"/>
        <w:right w:val="none" w:sz="0" w:space="0" w:color="auto"/>
      </w:divBdr>
      <w:divsChild>
        <w:div w:id="1161117595">
          <w:marLeft w:val="0"/>
          <w:marRight w:val="0"/>
          <w:marTop w:val="0"/>
          <w:marBottom w:val="0"/>
          <w:divBdr>
            <w:top w:val="none" w:sz="0" w:space="0" w:color="auto"/>
            <w:left w:val="none" w:sz="0" w:space="0" w:color="auto"/>
            <w:bottom w:val="none" w:sz="0" w:space="0" w:color="auto"/>
            <w:right w:val="none" w:sz="0" w:space="0" w:color="auto"/>
          </w:divBdr>
        </w:div>
      </w:divsChild>
    </w:div>
    <w:div w:id="849836034">
      <w:bodyDiv w:val="1"/>
      <w:marLeft w:val="0"/>
      <w:marRight w:val="0"/>
      <w:marTop w:val="0"/>
      <w:marBottom w:val="0"/>
      <w:divBdr>
        <w:top w:val="none" w:sz="0" w:space="0" w:color="auto"/>
        <w:left w:val="none" w:sz="0" w:space="0" w:color="auto"/>
        <w:bottom w:val="none" w:sz="0" w:space="0" w:color="auto"/>
        <w:right w:val="none" w:sz="0" w:space="0" w:color="auto"/>
      </w:divBdr>
    </w:div>
    <w:div w:id="892621223">
      <w:bodyDiv w:val="1"/>
      <w:marLeft w:val="0"/>
      <w:marRight w:val="0"/>
      <w:marTop w:val="0"/>
      <w:marBottom w:val="0"/>
      <w:divBdr>
        <w:top w:val="none" w:sz="0" w:space="0" w:color="auto"/>
        <w:left w:val="none" w:sz="0" w:space="0" w:color="auto"/>
        <w:bottom w:val="none" w:sz="0" w:space="0" w:color="auto"/>
        <w:right w:val="none" w:sz="0" w:space="0" w:color="auto"/>
      </w:divBdr>
    </w:div>
    <w:div w:id="897865017">
      <w:bodyDiv w:val="1"/>
      <w:marLeft w:val="0"/>
      <w:marRight w:val="0"/>
      <w:marTop w:val="0"/>
      <w:marBottom w:val="0"/>
      <w:divBdr>
        <w:top w:val="none" w:sz="0" w:space="0" w:color="auto"/>
        <w:left w:val="none" w:sz="0" w:space="0" w:color="auto"/>
        <w:bottom w:val="none" w:sz="0" w:space="0" w:color="auto"/>
        <w:right w:val="none" w:sz="0" w:space="0" w:color="auto"/>
      </w:divBdr>
    </w:div>
    <w:div w:id="899710593">
      <w:bodyDiv w:val="1"/>
      <w:marLeft w:val="0"/>
      <w:marRight w:val="0"/>
      <w:marTop w:val="0"/>
      <w:marBottom w:val="0"/>
      <w:divBdr>
        <w:top w:val="none" w:sz="0" w:space="0" w:color="auto"/>
        <w:left w:val="none" w:sz="0" w:space="0" w:color="auto"/>
        <w:bottom w:val="none" w:sz="0" w:space="0" w:color="auto"/>
        <w:right w:val="none" w:sz="0" w:space="0" w:color="auto"/>
      </w:divBdr>
    </w:div>
    <w:div w:id="990643441">
      <w:bodyDiv w:val="1"/>
      <w:marLeft w:val="0"/>
      <w:marRight w:val="0"/>
      <w:marTop w:val="0"/>
      <w:marBottom w:val="0"/>
      <w:divBdr>
        <w:top w:val="none" w:sz="0" w:space="0" w:color="auto"/>
        <w:left w:val="none" w:sz="0" w:space="0" w:color="auto"/>
        <w:bottom w:val="none" w:sz="0" w:space="0" w:color="auto"/>
        <w:right w:val="none" w:sz="0" w:space="0" w:color="auto"/>
      </w:divBdr>
    </w:div>
    <w:div w:id="999968684">
      <w:bodyDiv w:val="1"/>
      <w:marLeft w:val="0"/>
      <w:marRight w:val="0"/>
      <w:marTop w:val="0"/>
      <w:marBottom w:val="0"/>
      <w:divBdr>
        <w:top w:val="none" w:sz="0" w:space="0" w:color="auto"/>
        <w:left w:val="none" w:sz="0" w:space="0" w:color="auto"/>
        <w:bottom w:val="none" w:sz="0" w:space="0" w:color="auto"/>
        <w:right w:val="none" w:sz="0" w:space="0" w:color="auto"/>
      </w:divBdr>
    </w:div>
    <w:div w:id="1091314844">
      <w:bodyDiv w:val="1"/>
      <w:marLeft w:val="0"/>
      <w:marRight w:val="0"/>
      <w:marTop w:val="0"/>
      <w:marBottom w:val="0"/>
      <w:divBdr>
        <w:top w:val="none" w:sz="0" w:space="0" w:color="auto"/>
        <w:left w:val="none" w:sz="0" w:space="0" w:color="auto"/>
        <w:bottom w:val="none" w:sz="0" w:space="0" w:color="auto"/>
        <w:right w:val="none" w:sz="0" w:space="0" w:color="auto"/>
      </w:divBdr>
    </w:div>
    <w:div w:id="1106313351">
      <w:bodyDiv w:val="1"/>
      <w:marLeft w:val="0"/>
      <w:marRight w:val="0"/>
      <w:marTop w:val="0"/>
      <w:marBottom w:val="0"/>
      <w:divBdr>
        <w:top w:val="none" w:sz="0" w:space="0" w:color="auto"/>
        <w:left w:val="none" w:sz="0" w:space="0" w:color="auto"/>
        <w:bottom w:val="none" w:sz="0" w:space="0" w:color="auto"/>
        <w:right w:val="none" w:sz="0" w:space="0" w:color="auto"/>
      </w:divBdr>
      <w:divsChild>
        <w:div w:id="477963246">
          <w:marLeft w:val="0"/>
          <w:marRight w:val="0"/>
          <w:marTop w:val="0"/>
          <w:marBottom w:val="0"/>
          <w:divBdr>
            <w:top w:val="none" w:sz="0" w:space="0" w:color="auto"/>
            <w:left w:val="none" w:sz="0" w:space="0" w:color="auto"/>
            <w:bottom w:val="none" w:sz="0" w:space="0" w:color="auto"/>
            <w:right w:val="none" w:sz="0" w:space="0" w:color="auto"/>
          </w:divBdr>
        </w:div>
        <w:div w:id="693926222">
          <w:marLeft w:val="0"/>
          <w:marRight w:val="0"/>
          <w:marTop w:val="0"/>
          <w:marBottom w:val="0"/>
          <w:divBdr>
            <w:top w:val="none" w:sz="0" w:space="0" w:color="auto"/>
            <w:left w:val="none" w:sz="0" w:space="0" w:color="auto"/>
            <w:bottom w:val="none" w:sz="0" w:space="0" w:color="auto"/>
            <w:right w:val="none" w:sz="0" w:space="0" w:color="auto"/>
          </w:divBdr>
        </w:div>
        <w:div w:id="799760655">
          <w:marLeft w:val="0"/>
          <w:marRight w:val="0"/>
          <w:marTop w:val="0"/>
          <w:marBottom w:val="0"/>
          <w:divBdr>
            <w:top w:val="none" w:sz="0" w:space="0" w:color="auto"/>
            <w:left w:val="none" w:sz="0" w:space="0" w:color="auto"/>
            <w:bottom w:val="none" w:sz="0" w:space="0" w:color="auto"/>
            <w:right w:val="none" w:sz="0" w:space="0" w:color="auto"/>
          </w:divBdr>
        </w:div>
        <w:div w:id="1054623920">
          <w:marLeft w:val="0"/>
          <w:marRight w:val="0"/>
          <w:marTop w:val="0"/>
          <w:marBottom w:val="0"/>
          <w:divBdr>
            <w:top w:val="none" w:sz="0" w:space="0" w:color="auto"/>
            <w:left w:val="none" w:sz="0" w:space="0" w:color="auto"/>
            <w:bottom w:val="none" w:sz="0" w:space="0" w:color="auto"/>
            <w:right w:val="none" w:sz="0" w:space="0" w:color="auto"/>
          </w:divBdr>
        </w:div>
        <w:div w:id="1952664253">
          <w:marLeft w:val="0"/>
          <w:marRight w:val="0"/>
          <w:marTop w:val="0"/>
          <w:marBottom w:val="0"/>
          <w:divBdr>
            <w:top w:val="none" w:sz="0" w:space="0" w:color="auto"/>
            <w:left w:val="none" w:sz="0" w:space="0" w:color="auto"/>
            <w:bottom w:val="none" w:sz="0" w:space="0" w:color="auto"/>
            <w:right w:val="none" w:sz="0" w:space="0" w:color="auto"/>
          </w:divBdr>
        </w:div>
      </w:divsChild>
    </w:div>
    <w:div w:id="1111360183">
      <w:bodyDiv w:val="1"/>
      <w:marLeft w:val="0"/>
      <w:marRight w:val="0"/>
      <w:marTop w:val="0"/>
      <w:marBottom w:val="0"/>
      <w:divBdr>
        <w:top w:val="none" w:sz="0" w:space="0" w:color="auto"/>
        <w:left w:val="none" w:sz="0" w:space="0" w:color="auto"/>
        <w:bottom w:val="none" w:sz="0" w:space="0" w:color="auto"/>
        <w:right w:val="none" w:sz="0" w:space="0" w:color="auto"/>
      </w:divBdr>
    </w:div>
    <w:div w:id="1126242624">
      <w:bodyDiv w:val="1"/>
      <w:marLeft w:val="0"/>
      <w:marRight w:val="0"/>
      <w:marTop w:val="0"/>
      <w:marBottom w:val="0"/>
      <w:divBdr>
        <w:top w:val="none" w:sz="0" w:space="0" w:color="auto"/>
        <w:left w:val="none" w:sz="0" w:space="0" w:color="auto"/>
        <w:bottom w:val="none" w:sz="0" w:space="0" w:color="auto"/>
        <w:right w:val="none" w:sz="0" w:space="0" w:color="auto"/>
      </w:divBdr>
    </w:div>
    <w:div w:id="1128859156">
      <w:bodyDiv w:val="1"/>
      <w:marLeft w:val="0"/>
      <w:marRight w:val="0"/>
      <w:marTop w:val="0"/>
      <w:marBottom w:val="0"/>
      <w:divBdr>
        <w:top w:val="none" w:sz="0" w:space="0" w:color="auto"/>
        <w:left w:val="none" w:sz="0" w:space="0" w:color="auto"/>
        <w:bottom w:val="none" w:sz="0" w:space="0" w:color="auto"/>
        <w:right w:val="none" w:sz="0" w:space="0" w:color="auto"/>
      </w:divBdr>
      <w:divsChild>
        <w:div w:id="15547394">
          <w:marLeft w:val="0"/>
          <w:marRight w:val="0"/>
          <w:marTop w:val="0"/>
          <w:marBottom w:val="0"/>
          <w:divBdr>
            <w:top w:val="none" w:sz="0" w:space="0" w:color="auto"/>
            <w:left w:val="none" w:sz="0" w:space="0" w:color="auto"/>
            <w:bottom w:val="none" w:sz="0" w:space="0" w:color="auto"/>
            <w:right w:val="none" w:sz="0" w:space="0" w:color="auto"/>
          </w:divBdr>
        </w:div>
        <w:div w:id="23872342">
          <w:marLeft w:val="0"/>
          <w:marRight w:val="0"/>
          <w:marTop w:val="0"/>
          <w:marBottom w:val="0"/>
          <w:divBdr>
            <w:top w:val="none" w:sz="0" w:space="0" w:color="auto"/>
            <w:left w:val="none" w:sz="0" w:space="0" w:color="auto"/>
            <w:bottom w:val="none" w:sz="0" w:space="0" w:color="auto"/>
            <w:right w:val="none" w:sz="0" w:space="0" w:color="auto"/>
          </w:divBdr>
        </w:div>
        <w:div w:id="58788250">
          <w:marLeft w:val="0"/>
          <w:marRight w:val="0"/>
          <w:marTop w:val="0"/>
          <w:marBottom w:val="0"/>
          <w:divBdr>
            <w:top w:val="none" w:sz="0" w:space="0" w:color="auto"/>
            <w:left w:val="none" w:sz="0" w:space="0" w:color="auto"/>
            <w:bottom w:val="none" w:sz="0" w:space="0" w:color="auto"/>
            <w:right w:val="none" w:sz="0" w:space="0" w:color="auto"/>
          </w:divBdr>
        </w:div>
        <w:div w:id="71245729">
          <w:marLeft w:val="0"/>
          <w:marRight w:val="0"/>
          <w:marTop w:val="0"/>
          <w:marBottom w:val="0"/>
          <w:divBdr>
            <w:top w:val="none" w:sz="0" w:space="0" w:color="auto"/>
            <w:left w:val="none" w:sz="0" w:space="0" w:color="auto"/>
            <w:bottom w:val="none" w:sz="0" w:space="0" w:color="auto"/>
            <w:right w:val="none" w:sz="0" w:space="0" w:color="auto"/>
          </w:divBdr>
        </w:div>
        <w:div w:id="131948473">
          <w:marLeft w:val="0"/>
          <w:marRight w:val="0"/>
          <w:marTop w:val="0"/>
          <w:marBottom w:val="0"/>
          <w:divBdr>
            <w:top w:val="none" w:sz="0" w:space="0" w:color="auto"/>
            <w:left w:val="none" w:sz="0" w:space="0" w:color="auto"/>
            <w:bottom w:val="none" w:sz="0" w:space="0" w:color="auto"/>
            <w:right w:val="none" w:sz="0" w:space="0" w:color="auto"/>
          </w:divBdr>
        </w:div>
        <w:div w:id="140928052">
          <w:marLeft w:val="0"/>
          <w:marRight w:val="0"/>
          <w:marTop w:val="0"/>
          <w:marBottom w:val="0"/>
          <w:divBdr>
            <w:top w:val="none" w:sz="0" w:space="0" w:color="auto"/>
            <w:left w:val="none" w:sz="0" w:space="0" w:color="auto"/>
            <w:bottom w:val="none" w:sz="0" w:space="0" w:color="auto"/>
            <w:right w:val="none" w:sz="0" w:space="0" w:color="auto"/>
          </w:divBdr>
        </w:div>
        <w:div w:id="159009624">
          <w:marLeft w:val="0"/>
          <w:marRight w:val="0"/>
          <w:marTop w:val="0"/>
          <w:marBottom w:val="0"/>
          <w:divBdr>
            <w:top w:val="none" w:sz="0" w:space="0" w:color="auto"/>
            <w:left w:val="none" w:sz="0" w:space="0" w:color="auto"/>
            <w:bottom w:val="none" w:sz="0" w:space="0" w:color="auto"/>
            <w:right w:val="none" w:sz="0" w:space="0" w:color="auto"/>
          </w:divBdr>
        </w:div>
        <w:div w:id="328287105">
          <w:marLeft w:val="0"/>
          <w:marRight w:val="0"/>
          <w:marTop w:val="0"/>
          <w:marBottom w:val="0"/>
          <w:divBdr>
            <w:top w:val="none" w:sz="0" w:space="0" w:color="auto"/>
            <w:left w:val="none" w:sz="0" w:space="0" w:color="auto"/>
            <w:bottom w:val="none" w:sz="0" w:space="0" w:color="auto"/>
            <w:right w:val="none" w:sz="0" w:space="0" w:color="auto"/>
          </w:divBdr>
        </w:div>
        <w:div w:id="339043125">
          <w:marLeft w:val="0"/>
          <w:marRight w:val="0"/>
          <w:marTop w:val="0"/>
          <w:marBottom w:val="0"/>
          <w:divBdr>
            <w:top w:val="none" w:sz="0" w:space="0" w:color="auto"/>
            <w:left w:val="none" w:sz="0" w:space="0" w:color="auto"/>
            <w:bottom w:val="none" w:sz="0" w:space="0" w:color="auto"/>
            <w:right w:val="none" w:sz="0" w:space="0" w:color="auto"/>
          </w:divBdr>
        </w:div>
        <w:div w:id="339818424">
          <w:marLeft w:val="0"/>
          <w:marRight w:val="0"/>
          <w:marTop w:val="0"/>
          <w:marBottom w:val="0"/>
          <w:divBdr>
            <w:top w:val="none" w:sz="0" w:space="0" w:color="auto"/>
            <w:left w:val="none" w:sz="0" w:space="0" w:color="auto"/>
            <w:bottom w:val="none" w:sz="0" w:space="0" w:color="auto"/>
            <w:right w:val="none" w:sz="0" w:space="0" w:color="auto"/>
          </w:divBdr>
        </w:div>
        <w:div w:id="389116739">
          <w:marLeft w:val="0"/>
          <w:marRight w:val="0"/>
          <w:marTop w:val="0"/>
          <w:marBottom w:val="0"/>
          <w:divBdr>
            <w:top w:val="none" w:sz="0" w:space="0" w:color="auto"/>
            <w:left w:val="none" w:sz="0" w:space="0" w:color="auto"/>
            <w:bottom w:val="none" w:sz="0" w:space="0" w:color="auto"/>
            <w:right w:val="none" w:sz="0" w:space="0" w:color="auto"/>
          </w:divBdr>
        </w:div>
        <w:div w:id="408311035">
          <w:marLeft w:val="0"/>
          <w:marRight w:val="0"/>
          <w:marTop w:val="0"/>
          <w:marBottom w:val="0"/>
          <w:divBdr>
            <w:top w:val="none" w:sz="0" w:space="0" w:color="auto"/>
            <w:left w:val="none" w:sz="0" w:space="0" w:color="auto"/>
            <w:bottom w:val="none" w:sz="0" w:space="0" w:color="auto"/>
            <w:right w:val="none" w:sz="0" w:space="0" w:color="auto"/>
          </w:divBdr>
        </w:div>
        <w:div w:id="468059616">
          <w:marLeft w:val="0"/>
          <w:marRight w:val="0"/>
          <w:marTop w:val="0"/>
          <w:marBottom w:val="0"/>
          <w:divBdr>
            <w:top w:val="none" w:sz="0" w:space="0" w:color="auto"/>
            <w:left w:val="none" w:sz="0" w:space="0" w:color="auto"/>
            <w:bottom w:val="none" w:sz="0" w:space="0" w:color="auto"/>
            <w:right w:val="none" w:sz="0" w:space="0" w:color="auto"/>
          </w:divBdr>
        </w:div>
        <w:div w:id="478956713">
          <w:marLeft w:val="0"/>
          <w:marRight w:val="0"/>
          <w:marTop w:val="0"/>
          <w:marBottom w:val="0"/>
          <w:divBdr>
            <w:top w:val="none" w:sz="0" w:space="0" w:color="auto"/>
            <w:left w:val="none" w:sz="0" w:space="0" w:color="auto"/>
            <w:bottom w:val="none" w:sz="0" w:space="0" w:color="auto"/>
            <w:right w:val="none" w:sz="0" w:space="0" w:color="auto"/>
          </w:divBdr>
        </w:div>
        <w:div w:id="510339761">
          <w:marLeft w:val="0"/>
          <w:marRight w:val="0"/>
          <w:marTop w:val="0"/>
          <w:marBottom w:val="0"/>
          <w:divBdr>
            <w:top w:val="none" w:sz="0" w:space="0" w:color="auto"/>
            <w:left w:val="none" w:sz="0" w:space="0" w:color="auto"/>
            <w:bottom w:val="none" w:sz="0" w:space="0" w:color="auto"/>
            <w:right w:val="none" w:sz="0" w:space="0" w:color="auto"/>
          </w:divBdr>
        </w:div>
        <w:div w:id="517893702">
          <w:marLeft w:val="0"/>
          <w:marRight w:val="0"/>
          <w:marTop w:val="0"/>
          <w:marBottom w:val="0"/>
          <w:divBdr>
            <w:top w:val="none" w:sz="0" w:space="0" w:color="auto"/>
            <w:left w:val="none" w:sz="0" w:space="0" w:color="auto"/>
            <w:bottom w:val="none" w:sz="0" w:space="0" w:color="auto"/>
            <w:right w:val="none" w:sz="0" w:space="0" w:color="auto"/>
          </w:divBdr>
        </w:div>
        <w:div w:id="552085022">
          <w:marLeft w:val="0"/>
          <w:marRight w:val="0"/>
          <w:marTop w:val="0"/>
          <w:marBottom w:val="0"/>
          <w:divBdr>
            <w:top w:val="none" w:sz="0" w:space="0" w:color="auto"/>
            <w:left w:val="none" w:sz="0" w:space="0" w:color="auto"/>
            <w:bottom w:val="none" w:sz="0" w:space="0" w:color="auto"/>
            <w:right w:val="none" w:sz="0" w:space="0" w:color="auto"/>
          </w:divBdr>
        </w:div>
        <w:div w:id="570895923">
          <w:marLeft w:val="0"/>
          <w:marRight w:val="0"/>
          <w:marTop w:val="0"/>
          <w:marBottom w:val="0"/>
          <w:divBdr>
            <w:top w:val="none" w:sz="0" w:space="0" w:color="auto"/>
            <w:left w:val="none" w:sz="0" w:space="0" w:color="auto"/>
            <w:bottom w:val="none" w:sz="0" w:space="0" w:color="auto"/>
            <w:right w:val="none" w:sz="0" w:space="0" w:color="auto"/>
          </w:divBdr>
        </w:div>
        <w:div w:id="584997183">
          <w:marLeft w:val="0"/>
          <w:marRight w:val="0"/>
          <w:marTop w:val="0"/>
          <w:marBottom w:val="0"/>
          <w:divBdr>
            <w:top w:val="none" w:sz="0" w:space="0" w:color="auto"/>
            <w:left w:val="none" w:sz="0" w:space="0" w:color="auto"/>
            <w:bottom w:val="none" w:sz="0" w:space="0" w:color="auto"/>
            <w:right w:val="none" w:sz="0" w:space="0" w:color="auto"/>
          </w:divBdr>
        </w:div>
        <w:div w:id="591554186">
          <w:marLeft w:val="0"/>
          <w:marRight w:val="0"/>
          <w:marTop w:val="0"/>
          <w:marBottom w:val="0"/>
          <w:divBdr>
            <w:top w:val="none" w:sz="0" w:space="0" w:color="auto"/>
            <w:left w:val="none" w:sz="0" w:space="0" w:color="auto"/>
            <w:bottom w:val="none" w:sz="0" w:space="0" w:color="auto"/>
            <w:right w:val="none" w:sz="0" w:space="0" w:color="auto"/>
          </w:divBdr>
        </w:div>
        <w:div w:id="608005172">
          <w:marLeft w:val="0"/>
          <w:marRight w:val="0"/>
          <w:marTop w:val="0"/>
          <w:marBottom w:val="0"/>
          <w:divBdr>
            <w:top w:val="none" w:sz="0" w:space="0" w:color="auto"/>
            <w:left w:val="none" w:sz="0" w:space="0" w:color="auto"/>
            <w:bottom w:val="none" w:sz="0" w:space="0" w:color="auto"/>
            <w:right w:val="none" w:sz="0" w:space="0" w:color="auto"/>
          </w:divBdr>
        </w:div>
        <w:div w:id="774599361">
          <w:marLeft w:val="0"/>
          <w:marRight w:val="0"/>
          <w:marTop w:val="0"/>
          <w:marBottom w:val="0"/>
          <w:divBdr>
            <w:top w:val="none" w:sz="0" w:space="0" w:color="auto"/>
            <w:left w:val="none" w:sz="0" w:space="0" w:color="auto"/>
            <w:bottom w:val="none" w:sz="0" w:space="0" w:color="auto"/>
            <w:right w:val="none" w:sz="0" w:space="0" w:color="auto"/>
          </w:divBdr>
        </w:div>
        <w:div w:id="814294779">
          <w:marLeft w:val="0"/>
          <w:marRight w:val="0"/>
          <w:marTop w:val="0"/>
          <w:marBottom w:val="0"/>
          <w:divBdr>
            <w:top w:val="none" w:sz="0" w:space="0" w:color="auto"/>
            <w:left w:val="none" w:sz="0" w:space="0" w:color="auto"/>
            <w:bottom w:val="none" w:sz="0" w:space="0" w:color="auto"/>
            <w:right w:val="none" w:sz="0" w:space="0" w:color="auto"/>
          </w:divBdr>
        </w:div>
        <w:div w:id="825829325">
          <w:marLeft w:val="0"/>
          <w:marRight w:val="0"/>
          <w:marTop w:val="0"/>
          <w:marBottom w:val="0"/>
          <w:divBdr>
            <w:top w:val="none" w:sz="0" w:space="0" w:color="auto"/>
            <w:left w:val="none" w:sz="0" w:space="0" w:color="auto"/>
            <w:bottom w:val="none" w:sz="0" w:space="0" w:color="auto"/>
            <w:right w:val="none" w:sz="0" w:space="0" w:color="auto"/>
          </w:divBdr>
        </w:div>
        <w:div w:id="847478489">
          <w:marLeft w:val="0"/>
          <w:marRight w:val="0"/>
          <w:marTop w:val="0"/>
          <w:marBottom w:val="0"/>
          <w:divBdr>
            <w:top w:val="none" w:sz="0" w:space="0" w:color="auto"/>
            <w:left w:val="none" w:sz="0" w:space="0" w:color="auto"/>
            <w:bottom w:val="none" w:sz="0" w:space="0" w:color="auto"/>
            <w:right w:val="none" w:sz="0" w:space="0" w:color="auto"/>
          </w:divBdr>
        </w:div>
        <w:div w:id="896085089">
          <w:marLeft w:val="0"/>
          <w:marRight w:val="0"/>
          <w:marTop w:val="0"/>
          <w:marBottom w:val="0"/>
          <w:divBdr>
            <w:top w:val="none" w:sz="0" w:space="0" w:color="auto"/>
            <w:left w:val="none" w:sz="0" w:space="0" w:color="auto"/>
            <w:bottom w:val="none" w:sz="0" w:space="0" w:color="auto"/>
            <w:right w:val="none" w:sz="0" w:space="0" w:color="auto"/>
          </w:divBdr>
        </w:div>
        <w:div w:id="914708611">
          <w:marLeft w:val="0"/>
          <w:marRight w:val="0"/>
          <w:marTop w:val="0"/>
          <w:marBottom w:val="0"/>
          <w:divBdr>
            <w:top w:val="none" w:sz="0" w:space="0" w:color="auto"/>
            <w:left w:val="none" w:sz="0" w:space="0" w:color="auto"/>
            <w:bottom w:val="none" w:sz="0" w:space="0" w:color="auto"/>
            <w:right w:val="none" w:sz="0" w:space="0" w:color="auto"/>
          </w:divBdr>
        </w:div>
        <w:div w:id="973869387">
          <w:marLeft w:val="0"/>
          <w:marRight w:val="0"/>
          <w:marTop w:val="0"/>
          <w:marBottom w:val="0"/>
          <w:divBdr>
            <w:top w:val="none" w:sz="0" w:space="0" w:color="auto"/>
            <w:left w:val="none" w:sz="0" w:space="0" w:color="auto"/>
            <w:bottom w:val="none" w:sz="0" w:space="0" w:color="auto"/>
            <w:right w:val="none" w:sz="0" w:space="0" w:color="auto"/>
          </w:divBdr>
        </w:div>
        <w:div w:id="980354422">
          <w:marLeft w:val="0"/>
          <w:marRight w:val="0"/>
          <w:marTop w:val="0"/>
          <w:marBottom w:val="0"/>
          <w:divBdr>
            <w:top w:val="none" w:sz="0" w:space="0" w:color="auto"/>
            <w:left w:val="none" w:sz="0" w:space="0" w:color="auto"/>
            <w:bottom w:val="none" w:sz="0" w:space="0" w:color="auto"/>
            <w:right w:val="none" w:sz="0" w:space="0" w:color="auto"/>
          </w:divBdr>
        </w:div>
        <w:div w:id="980428382">
          <w:marLeft w:val="0"/>
          <w:marRight w:val="0"/>
          <w:marTop w:val="0"/>
          <w:marBottom w:val="0"/>
          <w:divBdr>
            <w:top w:val="none" w:sz="0" w:space="0" w:color="auto"/>
            <w:left w:val="none" w:sz="0" w:space="0" w:color="auto"/>
            <w:bottom w:val="none" w:sz="0" w:space="0" w:color="auto"/>
            <w:right w:val="none" w:sz="0" w:space="0" w:color="auto"/>
          </w:divBdr>
        </w:div>
        <w:div w:id="987322811">
          <w:marLeft w:val="0"/>
          <w:marRight w:val="0"/>
          <w:marTop w:val="0"/>
          <w:marBottom w:val="0"/>
          <w:divBdr>
            <w:top w:val="none" w:sz="0" w:space="0" w:color="auto"/>
            <w:left w:val="none" w:sz="0" w:space="0" w:color="auto"/>
            <w:bottom w:val="none" w:sz="0" w:space="0" w:color="auto"/>
            <w:right w:val="none" w:sz="0" w:space="0" w:color="auto"/>
          </w:divBdr>
        </w:div>
        <w:div w:id="1003165844">
          <w:marLeft w:val="0"/>
          <w:marRight w:val="0"/>
          <w:marTop w:val="0"/>
          <w:marBottom w:val="0"/>
          <w:divBdr>
            <w:top w:val="none" w:sz="0" w:space="0" w:color="auto"/>
            <w:left w:val="none" w:sz="0" w:space="0" w:color="auto"/>
            <w:bottom w:val="none" w:sz="0" w:space="0" w:color="auto"/>
            <w:right w:val="none" w:sz="0" w:space="0" w:color="auto"/>
          </w:divBdr>
        </w:div>
        <w:div w:id="1018120815">
          <w:marLeft w:val="0"/>
          <w:marRight w:val="0"/>
          <w:marTop w:val="0"/>
          <w:marBottom w:val="0"/>
          <w:divBdr>
            <w:top w:val="none" w:sz="0" w:space="0" w:color="auto"/>
            <w:left w:val="none" w:sz="0" w:space="0" w:color="auto"/>
            <w:bottom w:val="none" w:sz="0" w:space="0" w:color="auto"/>
            <w:right w:val="none" w:sz="0" w:space="0" w:color="auto"/>
          </w:divBdr>
        </w:div>
        <w:div w:id="1054038945">
          <w:marLeft w:val="0"/>
          <w:marRight w:val="0"/>
          <w:marTop w:val="0"/>
          <w:marBottom w:val="0"/>
          <w:divBdr>
            <w:top w:val="none" w:sz="0" w:space="0" w:color="auto"/>
            <w:left w:val="none" w:sz="0" w:space="0" w:color="auto"/>
            <w:bottom w:val="none" w:sz="0" w:space="0" w:color="auto"/>
            <w:right w:val="none" w:sz="0" w:space="0" w:color="auto"/>
          </w:divBdr>
        </w:div>
        <w:div w:id="1065953128">
          <w:marLeft w:val="0"/>
          <w:marRight w:val="0"/>
          <w:marTop w:val="0"/>
          <w:marBottom w:val="0"/>
          <w:divBdr>
            <w:top w:val="none" w:sz="0" w:space="0" w:color="auto"/>
            <w:left w:val="none" w:sz="0" w:space="0" w:color="auto"/>
            <w:bottom w:val="none" w:sz="0" w:space="0" w:color="auto"/>
            <w:right w:val="none" w:sz="0" w:space="0" w:color="auto"/>
          </w:divBdr>
        </w:div>
        <w:div w:id="1077240193">
          <w:marLeft w:val="0"/>
          <w:marRight w:val="0"/>
          <w:marTop w:val="0"/>
          <w:marBottom w:val="0"/>
          <w:divBdr>
            <w:top w:val="none" w:sz="0" w:space="0" w:color="auto"/>
            <w:left w:val="none" w:sz="0" w:space="0" w:color="auto"/>
            <w:bottom w:val="none" w:sz="0" w:space="0" w:color="auto"/>
            <w:right w:val="none" w:sz="0" w:space="0" w:color="auto"/>
          </w:divBdr>
        </w:div>
        <w:div w:id="1087844937">
          <w:marLeft w:val="0"/>
          <w:marRight w:val="0"/>
          <w:marTop w:val="0"/>
          <w:marBottom w:val="0"/>
          <w:divBdr>
            <w:top w:val="none" w:sz="0" w:space="0" w:color="auto"/>
            <w:left w:val="none" w:sz="0" w:space="0" w:color="auto"/>
            <w:bottom w:val="none" w:sz="0" w:space="0" w:color="auto"/>
            <w:right w:val="none" w:sz="0" w:space="0" w:color="auto"/>
          </w:divBdr>
        </w:div>
        <w:div w:id="1116563611">
          <w:marLeft w:val="0"/>
          <w:marRight w:val="0"/>
          <w:marTop w:val="0"/>
          <w:marBottom w:val="0"/>
          <w:divBdr>
            <w:top w:val="none" w:sz="0" w:space="0" w:color="auto"/>
            <w:left w:val="none" w:sz="0" w:space="0" w:color="auto"/>
            <w:bottom w:val="none" w:sz="0" w:space="0" w:color="auto"/>
            <w:right w:val="none" w:sz="0" w:space="0" w:color="auto"/>
          </w:divBdr>
        </w:div>
        <w:div w:id="1220288756">
          <w:marLeft w:val="0"/>
          <w:marRight w:val="0"/>
          <w:marTop w:val="0"/>
          <w:marBottom w:val="0"/>
          <w:divBdr>
            <w:top w:val="none" w:sz="0" w:space="0" w:color="auto"/>
            <w:left w:val="none" w:sz="0" w:space="0" w:color="auto"/>
            <w:bottom w:val="none" w:sz="0" w:space="0" w:color="auto"/>
            <w:right w:val="none" w:sz="0" w:space="0" w:color="auto"/>
          </w:divBdr>
        </w:div>
        <w:div w:id="1274441142">
          <w:marLeft w:val="0"/>
          <w:marRight w:val="0"/>
          <w:marTop w:val="0"/>
          <w:marBottom w:val="0"/>
          <w:divBdr>
            <w:top w:val="none" w:sz="0" w:space="0" w:color="auto"/>
            <w:left w:val="none" w:sz="0" w:space="0" w:color="auto"/>
            <w:bottom w:val="none" w:sz="0" w:space="0" w:color="auto"/>
            <w:right w:val="none" w:sz="0" w:space="0" w:color="auto"/>
          </w:divBdr>
        </w:div>
        <w:div w:id="1277758263">
          <w:marLeft w:val="0"/>
          <w:marRight w:val="0"/>
          <w:marTop w:val="0"/>
          <w:marBottom w:val="0"/>
          <w:divBdr>
            <w:top w:val="none" w:sz="0" w:space="0" w:color="auto"/>
            <w:left w:val="none" w:sz="0" w:space="0" w:color="auto"/>
            <w:bottom w:val="none" w:sz="0" w:space="0" w:color="auto"/>
            <w:right w:val="none" w:sz="0" w:space="0" w:color="auto"/>
          </w:divBdr>
        </w:div>
        <w:div w:id="1332026032">
          <w:marLeft w:val="0"/>
          <w:marRight w:val="0"/>
          <w:marTop w:val="0"/>
          <w:marBottom w:val="0"/>
          <w:divBdr>
            <w:top w:val="none" w:sz="0" w:space="0" w:color="auto"/>
            <w:left w:val="none" w:sz="0" w:space="0" w:color="auto"/>
            <w:bottom w:val="none" w:sz="0" w:space="0" w:color="auto"/>
            <w:right w:val="none" w:sz="0" w:space="0" w:color="auto"/>
          </w:divBdr>
        </w:div>
        <w:div w:id="1352149680">
          <w:marLeft w:val="0"/>
          <w:marRight w:val="0"/>
          <w:marTop w:val="0"/>
          <w:marBottom w:val="0"/>
          <w:divBdr>
            <w:top w:val="none" w:sz="0" w:space="0" w:color="auto"/>
            <w:left w:val="none" w:sz="0" w:space="0" w:color="auto"/>
            <w:bottom w:val="none" w:sz="0" w:space="0" w:color="auto"/>
            <w:right w:val="none" w:sz="0" w:space="0" w:color="auto"/>
          </w:divBdr>
        </w:div>
        <w:div w:id="1395618280">
          <w:marLeft w:val="0"/>
          <w:marRight w:val="0"/>
          <w:marTop w:val="0"/>
          <w:marBottom w:val="0"/>
          <w:divBdr>
            <w:top w:val="none" w:sz="0" w:space="0" w:color="auto"/>
            <w:left w:val="none" w:sz="0" w:space="0" w:color="auto"/>
            <w:bottom w:val="none" w:sz="0" w:space="0" w:color="auto"/>
            <w:right w:val="none" w:sz="0" w:space="0" w:color="auto"/>
          </w:divBdr>
        </w:div>
        <w:div w:id="1404765890">
          <w:marLeft w:val="0"/>
          <w:marRight w:val="0"/>
          <w:marTop w:val="0"/>
          <w:marBottom w:val="0"/>
          <w:divBdr>
            <w:top w:val="none" w:sz="0" w:space="0" w:color="auto"/>
            <w:left w:val="none" w:sz="0" w:space="0" w:color="auto"/>
            <w:bottom w:val="none" w:sz="0" w:space="0" w:color="auto"/>
            <w:right w:val="none" w:sz="0" w:space="0" w:color="auto"/>
          </w:divBdr>
        </w:div>
        <w:div w:id="1418207862">
          <w:marLeft w:val="0"/>
          <w:marRight w:val="0"/>
          <w:marTop w:val="0"/>
          <w:marBottom w:val="0"/>
          <w:divBdr>
            <w:top w:val="none" w:sz="0" w:space="0" w:color="auto"/>
            <w:left w:val="none" w:sz="0" w:space="0" w:color="auto"/>
            <w:bottom w:val="none" w:sz="0" w:space="0" w:color="auto"/>
            <w:right w:val="none" w:sz="0" w:space="0" w:color="auto"/>
          </w:divBdr>
        </w:div>
        <w:div w:id="1422489955">
          <w:marLeft w:val="0"/>
          <w:marRight w:val="0"/>
          <w:marTop w:val="0"/>
          <w:marBottom w:val="0"/>
          <w:divBdr>
            <w:top w:val="none" w:sz="0" w:space="0" w:color="auto"/>
            <w:left w:val="none" w:sz="0" w:space="0" w:color="auto"/>
            <w:bottom w:val="none" w:sz="0" w:space="0" w:color="auto"/>
            <w:right w:val="none" w:sz="0" w:space="0" w:color="auto"/>
          </w:divBdr>
        </w:div>
        <w:div w:id="1445077451">
          <w:marLeft w:val="0"/>
          <w:marRight w:val="0"/>
          <w:marTop w:val="0"/>
          <w:marBottom w:val="0"/>
          <w:divBdr>
            <w:top w:val="none" w:sz="0" w:space="0" w:color="auto"/>
            <w:left w:val="none" w:sz="0" w:space="0" w:color="auto"/>
            <w:bottom w:val="none" w:sz="0" w:space="0" w:color="auto"/>
            <w:right w:val="none" w:sz="0" w:space="0" w:color="auto"/>
          </w:divBdr>
        </w:div>
        <w:div w:id="1454135571">
          <w:marLeft w:val="0"/>
          <w:marRight w:val="0"/>
          <w:marTop w:val="0"/>
          <w:marBottom w:val="0"/>
          <w:divBdr>
            <w:top w:val="none" w:sz="0" w:space="0" w:color="auto"/>
            <w:left w:val="none" w:sz="0" w:space="0" w:color="auto"/>
            <w:bottom w:val="none" w:sz="0" w:space="0" w:color="auto"/>
            <w:right w:val="none" w:sz="0" w:space="0" w:color="auto"/>
          </w:divBdr>
        </w:div>
        <w:div w:id="1474326486">
          <w:marLeft w:val="0"/>
          <w:marRight w:val="0"/>
          <w:marTop w:val="0"/>
          <w:marBottom w:val="0"/>
          <w:divBdr>
            <w:top w:val="none" w:sz="0" w:space="0" w:color="auto"/>
            <w:left w:val="none" w:sz="0" w:space="0" w:color="auto"/>
            <w:bottom w:val="none" w:sz="0" w:space="0" w:color="auto"/>
            <w:right w:val="none" w:sz="0" w:space="0" w:color="auto"/>
          </w:divBdr>
        </w:div>
        <w:div w:id="1483348806">
          <w:marLeft w:val="0"/>
          <w:marRight w:val="0"/>
          <w:marTop w:val="0"/>
          <w:marBottom w:val="0"/>
          <w:divBdr>
            <w:top w:val="none" w:sz="0" w:space="0" w:color="auto"/>
            <w:left w:val="none" w:sz="0" w:space="0" w:color="auto"/>
            <w:bottom w:val="none" w:sz="0" w:space="0" w:color="auto"/>
            <w:right w:val="none" w:sz="0" w:space="0" w:color="auto"/>
          </w:divBdr>
        </w:div>
        <w:div w:id="1564101149">
          <w:marLeft w:val="0"/>
          <w:marRight w:val="0"/>
          <w:marTop w:val="0"/>
          <w:marBottom w:val="0"/>
          <w:divBdr>
            <w:top w:val="none" w:sz="0" w:space="0" w:color="auto"/>
            <w:left w:val="none" w:sz="0" w:space="0" w:color="auto"/>
            <w:bottom w:val="none" w:sz="0" w:space="0" w:color="auto"/>
            <w:right w:val="none" w:sz="0" w:space="0" w:color="auto"/>
          </w:divBdr>
        </w:div>
        <w:div w:id="1601795442">
          <w:marLeft w:val="0"/>
          <w:marRight w:val="0"/>
          <w:marTop w:val="0"/>
          <w:marBottom w:val="0"/>
          <w:divBdr>
            <w:top w:val="none" w:sz="0" w:space="0" w:color="auto"/>
            <w:left w:val="none" w:sz="0" w:space="0" w:color="auto"/>
            <w:bottom w:val="none" w:sz="0" w:space="0" w:color="auto"/>
            <w:right w:val="none" w:sz="0" w:space="0" w:color="auto"/>
          </w:divBdr>
        </w:div>
        <w:div w:id="1622572366">
          <w:marLeft w:val="0"/>
          <w:marRight w:val="0"/>
          <w:marTop w:val="0"/>
          <w:marBottom w:val="0"/>
          <w:divBdr>
            <w:top w:val="none" w:sz="0" w:space="0" w:color="auto"/>
            <w:left w:val="none" w:sz="0" w:space="0" w:color="auto"/>
            <w:bottom w:val="none" w:sz="0" w:space="0" w:color="auto"/>
            <w:right w:val="none" w:sz="0" w:space="0" w:color="auto"/>
          </w:divBdr>
        </w:div>
        <w:div w:id="1647856367">
          <w:marLeft w:val="0"/>
          <w:marRight w:val="0"/>
          <w:marTop w:val="0"/>
          <w:marBottom w:val="0"/>
          <w:divBdr>
            <w:top w:val="none" w:sz="0" w:space="0" w:color="auto"/>
            <w:left w:val="none" w:sz="0" w:space="0" w:color="auto"/>
            <w:bottom w:val="none" w:sz="0" w:space="0" w:color="auto"/>
            <w:right w:val="none" w:sz="0" w:space="0" w:color="auto"/>
          </w:divBdr>
        </w:div>
        <w:div w:id="1720324258">
          <w:marLeft w:val="0"/>
          <w:marRight w:val="0"/>
          <w:marTop w:val="0"/>
          <w:marBottom w:val="0"/>
          <w:divBdr>
            <w:top w:val="none" w:sz="0" w:space="0" w:color="auto"/>
            <w:left w:val="none" w:sz="0" w:space="0" w:color="auto"/>
            <w:bottom w:val="none" w:sz="0" w:space="0" w:color="auto"/>
            <w:right w:val="none" w:sz="0" w:space="0" w:color="auto"/>
          </w:divBdr>
        </w:div>
        <w:div w:id="1777094064">
          <w:marLeft w:val="0"/>
          <w:marRight w:val="0"/>
          <w:marTop w:val="0"/>
          <w:marBottom w:val="0"/>
          <w:divBdr>
            <w:top w:val="none" w:sz="0" w:space="0" w:color="auto"/>
            <w:left w:val="none" w:sz="0" w:space="0" w:color="auto"/>
            <w:bottom w:val="none" w:sz="0" w:space="0" w:color="auto"/>
            <w:right w:val="none" w:sz="0" w:space="0" w:color="auto"/>
          </w:divBdr>
        </w:div>
        <w:div w:id="1806504307">
          <w:marLeft w:val="0"/>
          <w:marRight w:val="0"/>
          <w:marTop w:val="0"/>
          <w:marBottom w:val="0"/>
          <w:divBdr>
            <w:top w:val="none" w:sz="0" w:space="0" w:color="auto"/>
            <w:left w:val="none" w:sz="0" w:space="0" w:color="auto"/>
            <w:bottom w:val="none" w:sz="0" w:space="0" w:color="auto"/>
            <w:right w:val="none" w:sz="0" w:space="0" w:color="auto"/>
          </w:divBdr>
        </w:div>
        <w:div w:id="1806579005">
          <w:marLeft w:val="0"/>
          <w:marRight w:val="0"/>
          <w:marTop w:val="0"/>
          <w:marBottom w:val="0"/>
          <w:divBdr>
            <w:top w:val="none" w:sz="0" w:space="0" w:color="auto"/>
            <w:left w:val="none" w:sz="0" w:space="0" w:color="auto"/>
            <w:bottom w:val="none" w:sz="0" w:space="0" w:color="auto"/>
            <w:right w:val="none" w:sz="0" w:space="0" w:color="auto"/>
          </w:divBdr>
        </w:div>
        <w:div w:id="1820415130">
          <w:marLeft w:val="0"/>
          <w:marRight w:val="0"/>
          <w:marTop w:val="0"/>
          <w:marBottom w:val="0"/>
          <w:divBdr>
            <w:top w:val="none" w:sz="0" w:space="0" w:color="auto"/>
            <w:left w:val="none" w:sz="0" w:space="0" w:color="auto"/>
            <w:bottom w:val="none" w:sz="0" w:space="0" w:color="auto"/>
            <w:right w:val="none" w:sz="0" w:space="0" w:color="auto"/>
          </w:divBdr>
        </w:div>
        <w:div w:id="1822963862">
          <w:marLeft w:val="0"/>
          <w:marRight w:val="0"/>
          <w:marTop w:val="0"/>
          <w:marBottom w:val="0"/>
          <w:divBdr>
            <w:top w:val="none" w:sz="0" w:space="0" w:color="auto"/>
            <w:left w:val="none" w:sz="0" w:space="0" w:color="auto"/>
            <w:bottom w:val="none" w:sz="0" w:space="0" w:color="auto"/>
            <w:right w:val="none" w:sz="0" w:space="0" w:color="auto"/>
          </w:divBdr>
        </w:div>
        <w:div w:id="1839930079">
          <w:marLeft w:val="0"/>
          <w:marRight w:val="0"/>
          <w:marTop w:val="0"/>
          <w:marBottom w:val="0"/>
          <w:divBdr>
            <w:top w:val="none" w:sz="0" w:space="0" w:color="auto"/>
            <w:left w:val="none" w:sz="0" w:space="0" w:color="auto"/>
            <w:bottom w:val="none" w:sz="0" w:space="0" w:color="auto"/>
            <w:right w:val="none" w:sz="0" w:space="0" w:color="auto"/>
          </w:divBdr>
        </w:div>
        <w:div w:id="1841045781">
          <w:marLeft w:val="0"/>
          <w:marRight w:val="0"/>
          <w:marTop w:val="0"/>
          <w:marBottom w:val="0"/>
          <w:divBdr>
            <w:top w:val="none" w:sz="0" w:space="0" w:color="auto"/>
            <w:left w:val="none" w:sz="0" w:space="0" w:color="auto"/>
            <w:bottom w:val="none" w:sz="0" w:space="0" w:color="auto"/>
            <w:right w:val="none" w:sz="0" w:space="0" w:color="auto"/>
          </w:divBdr>
        </w:div>
        <w:div w:id="1873609207">
          <w:marLeft w:val="0"/>
          <w:marRight w:val="0"/>
          <w:marTop w:val="0"/>
          <w:marBottom w:val="0"/>
          <w:divBdr>
            <w:top w:val="none" w:sz="0" w:space="0" w:color="auto"/>
            <w:left w:val="none" w:sz="0" w:space="0" w:color="auto"/>
            <w:bottom w:val="none" w:sz="0" w:space="0" w:color="auto"/>
            <w:right w:val="none" w:sz="0" w:space="0" w:color="auto"/>
          </w:divBdr>
        </w:div>
        <w:div w:id="1882091011">
          <w:marLeft w:val="0"/>
          <w:marRight w:val="0"/>
          <w:marTop w:val="0"/>
          <w:marBottom w:val="0"/>
          <w:divBdr>
            <w:top w:val="none" w:sz="0" w:space="0" w:color="auto"/>
            <w:left w:val="none" w:sz="0" w:space="0" w:color="auto"/>
            <w:bottom w:val="none" w:sz="0" w:space="0" w:color="auto"/>
            <w:right w:val="none" w:sz="0" w:space="0" w:color="auto"/>
          </w:divBdr>
        </w:div>
        <w:div w:id="1924946031">
          <w:marLeft w:val="0"/>
          <w:marRight w:val="0"/>
          <w:marTop w:val="0"/>
          <w:marBottom w:val="0"/>
          <w:divBdr>
            <w:top w:val="none" w:sz="0" w:space="0" w:color="auto"/>
            <w:left w:val="none" w:sz="0" w:space="0" w:color="auto"/>
            <w:bottom w:val="none" w:sz="0" w:space="0" w:color="auto"/>
            <w:right w:val="none" w:sz="0" w:space="0" w:color="auto"/>
          </w:divBdr>
        </w:div>
        <w:div w:id="1925527950">
          <w:marLeft w:val="0"/>
          <w:marRight w:val="0"/>
          <w:marTop w:val="0"/>
          <w:marBottom w:val="0"/>
          <w:divBdr>
            <w:top w:val="none" w:sz="0" w:space="0" w:color="auto"/>
            <w:left w:val="none" w:sz="0" w:space="0" w:color="auto"/>
            <w:bottom w:val="none" w:sz="0" w:space="0" w:color="auto"/>
            <w:right w:val="none" w:sz="0" w:space="0" w:color="auto"/>
          </w:divBdr>
        </w:div>
        <w:div w:id="1931618809">
          <w:marLeft w:val="0"/>
          <w:marRight w:val="0"/>
          <w:marTop w:val="0"/>
          <w:marBottom w:val="0"/>
          <w:divBdr>
            <w:top w:val="none" w:sz="0" w:space="0" w:color="auto"/>
            <w:left w:val="none" w:sz="0" w:space="0" w:color="auto"/>
            <w:bottom w:val="none" w:sz="0" w:space="0" w:color="auto"/>
            <w:right w:val="none" w:sz="0" w:space="0" w:color="auto"/>
          </w:divBdr>
        </w:div>
        <w:div w:id="1954289702">
          <w:marLeft w:val="0"/>
          <w:marRight w:val="0"/>
          <w:marTop w:val="0"/>
          <w:marBottom w:val="0"/>
          <w:divBdr>
            <w:top w:val="none" w:sz="0" w:space="0" w:color="auto"/>
            <w:left w:val="none" w:sz="0" w:space="0" w:color="auto"/>
            <w:bottom w:val="none" w:sz="0" w:space="0" w:color="auto"/>
            <w:right w:val="none" w:sz="0" w:space="0" w:color="auto"/>
          </w:divBdr>
        </w:div>
        <w:div w:id="2011718758">
          <w:marLeft w:val="0"/>
          <w:marRight w:val="0"/>
          <w:marTop w:val="0"/>
          <w:marBottom w:val="0"/>
          <w:divBdr>
            <w:top w:val="none" w:sz="0" w:space="0" w:color="auto"/>
            <w:left w:val="none" w:sz="0" w:space="0" w:color="auto"/>
            <w:bottom w:val="none" w:sz="0" w:space="0" w:color="auto"/>
            <w:right w:val="none" w:sz="0" w:space="0" w:color="auto"/>
          </w:divBdr>
        </w:div>
        <w:div w:id="2016494136">
          <w:marLeft w:val="0"/>
          <w:marRight w:val="0"/>
          <w:marTop w:val="0"/>
          <w:marBottom w:val="0"/>
          <w:divBdr>
            <w:top w:val="none" w:sz="0" w:space="0" w:color="auto"/>
            <w:left w:val="none" w:sz="0" w:space="0" w:color="auto"/>
            <w:bottom w:val="none" w:sz="0" w:space="0" w:color="auto"/>
            <w:right w:val="none" w:sz="0" w:space="0" w:color="auto"/>
          </w:divBdr>
        </w:div>
        <w:div w:id="2041009327">
          <w:marLeft w:val="0"/>
          <w:marRight w:val="0"/>
          <w:marTop w:val="0"/>
          <w:marBottom w:val="0"/>
          <w:divBdr>
            <w:top w:val="none" w:sz="0" w:space="0" w:color="auto"/>
            <w:left w:val="none" w:sz="0" w:space="0" w:color="auto"/>
            <w:bottom w:val="none" w:sz="0" w:space="0" w:color="auto"/>
            <w:right w:val="none" w:sz="0" w:space="0" w:color="auto"/>
          </w:divBdr>
        </w:div>
        <w:div w:id="2052612120">
          <w:marLeft w:val="0"/>
          <w:marRight w:val="0"/>
          <w:marTop w:val="0"/>
          <w:marBottom w:val="0"/>
          <w:divBdr>
            <w:top w:val="none" w:sz="0" w:space="0" w:color="auto"/>
            <w:left w:val="none" w:sz="0" w:space="0" w:color="auto"/>
            <w:bottom w:val="none" w:sz="0" w:space="0" w:color="auto"/>
            <w:right w:val="none" w:sz="0" w:space="0" w:color="auto"/>
          </w:divBdr>
        </w:div>
        <w:div w:id="2074621036">
          <w:marLeft w:val="0"/>
          <w:marRight w:val="0"/>
          <w:marTop w:val="0"/>
          <w:marBottom w:val="0"/>
          <w:divBdr>
            <w:top w:val="none" w:sz="0" w:space="0" w:color="auto"/>
            <w:left w:val="none" w:sz="0" w:space="0" w:color="auto"/>
            <w:bottom w:val="none" w:sz="0" w:space="0" w:color="auto"/>
            <w:right w:val="none" w:sz="0" w:space="0" w:color="auto"/>
          </w:divBdr>
        </w:div>
        <w:div w:id="2104064480">
          <w:marLeft w:val="0"/>
          <w:marRight w:val="0"/>
          <w:marTop w:val="0"/>
          <w:marBottom w:val="0"/>
          <w:divBdr>
            <w:top w:val="none" w:sz="0" w:space="0" w:color="auto"/>
            <w:left w:val="none" w:sz="0" w:space="0" w:color="auto"/>
            <w:bottom w:val="none" w:sz="0" w:space="0" w:color="auto"/>
            <w:right w:val="none" w:sz="0" w:space="0" w:color="auto"/>
          </w:divBdr>
        </w:div>
        <w:div w:id="2113043626">
          <w:marLeft w:val="0"/>
          <w:marRight w:val="0"/>
          <w:marTop w:val="0"/>
          <w:marBottom w:val="0"/>
          <w:divBdr>
            <w:top w:val="none" w:sz="0" w:space="0" w:color="auto"/>
            <w:left w:val="none" w:sz="0" w:space="0" w:color="auto"/>
            <w:bottom w:val="none" w:sz="0" w:space="0" w:color="auto"/>
            <w:right w:val="none" w:sz="0" w:space="0" w:color="auto"/>
          </w:divBdr>
        </w:div>
      </w:divsChild>
    </w:div>
    <w:div w:id="1129082591">
      <w:bodyDiv w:val="1"/>
      <w:marLeft w:val="0"/>
      <w:marRight w:val="0"/>
      <w:marTop w:val="0"/>
      <w:marBottom w:val="0"/>
      <w:divBdr>
        <w:top w:val="none" w:sz="0" w:space="0" w:color="auto"/>
        <w:left w:val="none" w:sz="0" w:space="0" w:color="auto"/>
        <w:bottom w:val="none" w:sz="0" w:space="0" w:color="auto"/>
        <w:right w:val="none" w:sz="0" w:space="0" w:color="auto"/>
      </w:divBdr>
    </w:div>
    <w:div w:id="1131750903">
      <w:bodyDiv w:val="1"/>
      <w:marLeft w:val="0"/>
      <w:marRight w:val="0"/>
      <w:marTop w:val="0"/>
      <w:marBottom w:val="0"/>
      <w:divBdr>
        <w:top w:val="none" w:sz="0" w:space="0" w:color="auto"/>
        <w:left w:val="none" w:sz="0" w:space="0" w:color="auto"/>
        <w:bottom w:val="none" w:sz="0" w:space="0" w:color="auto"/>
        <w:right w:val="none" w:sz="0" w:space="0" w:color="auto"/>
      </w:divBdr>
    </w:div>
    <w:div w:id="1143693628">
      <w:bodyDiv w:val="1"/>
      <w:marLeft w:val="0"/>
      <w:marRight w:val="0"/>
      <w:marTop w:val="0"/>
      <w:marBottom w:val="0"/>
      <w:divBdr>
        <w:top w:val="none" w:sz="0" w:space="0" w:color="auto"/>
        <w:left w:val="none" w:sz="0" w:space="0" w:color="auto"/>
        <w:bottom w:val="none" w:sz="0" w:space="0" w:color="auto"/>
        <w:right w:val="none" w:sz="0" w:space="0" w:color="auto"/>
      </w:divBdr>
      <w:divsChild>
        <w:div w:id="62223613">
          <w:marLeft w:val="0"/>
          <w:marRight w:val="0"/>
          <w:marTop w:val="0"/>
          <w:marBottom w:val="0"/>
          <w:divBdr>
            <w:top w:val="none" w:sz="0" w:space="0" w:color="auto"/>
            <w:left w:val="none" w:sz="0" w:space="0" w:color="auto"/>
            <w:bottom w:val="none" w:sz="0" w:space="0" w:color="auto"/>
            <w:right w:val="none" w:sz="0" w:space="0" w:color="auto"/>
          </w:divBdr>
        </w:div>
        <w:div w:id="309210814">
          <w:marLeft w:val="0"/>
          <w:marRight w:val="0"/>
          <w:marTop w:val="0"/>
          <w:marBottom w:val="0"/>
          <w:divBdr>
            <w:top w:val="none" w:sz="0" w:space="0" w:color="auto"/>
            <w:left w:val="none" w:sz="0" w:space="0" w:color="auto"/>
            <w:bottom w:val="none" w:sz="0" w:space="0" w:color="auto"/>
            <w:right w:val="none" w:sz="0" w:space="0" w:color="auto"/>
          </w:divBdr>
        </w:div>
        <w:div w:id="354309263">
          <w:marLeft w:val="0"/>
          <w:marRight w:val="0"/>
          <w:marTop w:val="0"/>
          <w:marBottom w:val="0"/>
          <w:divBdr>
            <w:top w:val="none" w:sz="0" w:space="0" w:color="auto"/>
            <w:left w:val="none" w:sz="0" w:space="0" w:color="auto"/>
            <w:bottom w:val="none" w:sz="0" w:space="0" w:color="auto"/>
            <w:right w:val="none" w:sz="0" w:space="0" w:color="auto"/>
          </w:divBdr>
        </w:div>
        <w:div w:id="391542509">
          <w:marLeft w:val="0"/>
          <w:marRight w:val="0"/>
          <w:marTop w:val="0"/>
          <w:marBottom w:val="0"/>
          <w:divBdr>
            <w:top w:val="none" w:sz="0" w:space="0" w:color="auto"/>
            <w:left w:val="none" w:sz="0" w:space="0" w:color="auto"/>
            <w:bottom w:val="none" w:sz="0" w:space="0" w:color="auto"/>
            <w:right w:val="none" w:sz="0" w:space="0" w:color="auto"/>
          </w:divBdr>
        </w:div>
        <w:div w:id="396172484">
          <w:marLeft w:val="0"/>
          <w:marRight w:val="0"/>
          <w:marTop w:val="0"/>
          <w:marBottom w:val="0"/>
          <w:divBdr>
            <w:top w:val="none" w:sz="0" w:space="0" w:color="auto"/>
            <w:left w:val="none" w:sz="0" w:space="0" w:color="auto"/>
            <w:bottom w:val="none" w:sz="0" w:space="0" w:color="auto"/>
            <w:right w:val="none" w:sz="0" w:space="0" w:color="auto"/>
          </w:divBdr>
        </w:div>
        <w:div w:id="613707581">
          <w:marLeft w:val="0"/>
          <w:marRight w:val="0"/>
          <w:marTop w:val="0"/>
          <w:marBottom w:val="0"/>
          <w:divBdr>
            <w:top w:val="none" w:sz="0" w:space="0" w:color="auto"/>
            <w:left w:val="none" w:sz="0" w:space="0" w:color="auto"/>
            <w:bottom w:val="none" w:sz="0" w:space="0" w:color="auto"/>
            <w:right w:val="none" w:sz="0" w:space="0" w:color="auto"/>
          </w:divBdr>
        </w:div>
        <w:div w:id="648901505">
          <w:marLeft w:val="0"/>
          <w:marRight w:val="0"/>
          <w:marTop w:val="0"/>
          <w:marBottom w:val="0"/>
          <w:divBdr>
            <w:top w:val="none" w:sz="0" w:space="0" w:color="auto"/>
            <w:left w:val="none" w:sz="0" w:space="0" w:color="auto"/>
            <w:bottom w:val="none" w:sz="0" w:space="0" w:color="auto"/>
            <w:right w:val="none" w:sz="0" w:space="0" w:color="auto"/>
          </w:divBdr>
        </w:div>
        <w:div w:id="937635816">
          <w:marLeft w:val="0"/>
          <w:marRight w:val="0"/>
          <w:marTop w:val="0"/>
          <w:marBottom w:val="0"/>
          <w:divBdr>
            <w:top w:val="none" w:sz="0" w:space="0" w:color="auto"/>
            <w:left w:val="none" w:sz="0" w:space="0" w:color="auto"/>
            <w:bottom w:val="none" w:sz="0" w:space="0" w:color="auto"/>
            <w:right w:val="none" w:sz="0" w:space="0" w:color="auto"/>
          </w:divBdr>
        </w:div>
        <w:div w:id="1241986823">
          <w:marLeft w:val="0"/>
          <w:marRight w:val="0"/>
          <w:marTop w:val="0"/>
          <w:marBottom w:val="0"/>
          <w:divBdr>
            <w:top w:val="none" w:sz="0" w:space="0" w:color="auto"/>
            <w:left w:val="none" w:sz="0" w:space="0" w:color="auto"/>
            <w:bottom w:val="none" w:sz="0" w:space="0" w:color="auto"/>
            <w:right w:val="none" w:sz="0" w:space="0" w:color="auto"/>
          </w:divBdr>
        </w:div>
        <w:div w:id="1602571263">
          <w:marLeft w:val="0"/>
          <w:marRight w:val="0"/>
          <w:marTop w:val="0"/>
          <w:marBottom w:val="0"/>
          <w:divBdr>
            <w:top w:val="none" w:sz="0" w:space="0" w:color="auto"/>
            <w:left w:val="none" w:sz="0" w:space="0" w:color="auto"/>
            <w:bottom w:val="none" w:sz="0" w:space="0" w:color="auto"/>
            <w:right w:val="none" w:sz="0" w:space="0" w:color="auto"/>
          </w:divBdr>
        </w:div>
      </w:divsChild>
    </w:div>
    <w:div w:id="1156805028">
      <w:bodyDiv w:val="1"/>
      <w:marLeft w:val="0"/>
      <w:marRight w:val="0"/>
      <w:marTop w:val="0"/>
      <w:marBottom w:val="0"/>
      <w:divBdr>
        <w:top w:val="none" w:sz="0" w:space="0" w:color="auto"/>
        <w:left w:val="none" w:sz="0" w:space="0" w:color="auto"/>
        <w:bottom w:val="none" w:sz="0" w:space="0" w:color="auto"/>
        <w:right w:val="none" w:sz="0" w:space="0" w:color="auto"/>
      </w:divBdr>
    </w:div>
    <w:div w:id="1171868831">
      <w:bodyDiv w:val="1"/>
      <w:marLeft w:val="0"/>
      <w:marRight w:val="0"/>
      <w:marTop w:val="0"/>
      <w:marBottom w:val="0"/>
      <w:divBdr>
        <w:top w:val="none" w:sz="0" w:space="0" w:color="auto"/>
        <w:left w:val="none" w:sz="0" w:space="0" w:color="auto"/>
        <w:bottom w:val="none" w:sz="0" w:space="0" w:color="auto"/>
        <w:right w:val="none" w:sz="0" w:space="0" w:color="auto"/>
      </w:divBdr>
    </w:div>
    <w:div w:id="1181311702">
      <w:bodyDiv w:val="1"/>
      <w:marLeft w:val="0"/>
      <w:marRight w:val="0"/>
      <w:marTop w:val="0"/>
      <w:marBottom w:val="0"/>
      <w:divBdr>
        <w:top w:val="none" w:sz="0" w:space="0" w:color="auto"/>
        <w:left w:val="none" w:sz="0" w:space="0" w:color="auto"/>
        <w:bottom w:val="none" w:sz="0" w:space="0" w:color="auto"/>
        <w:right w:val="none" w:sz="0" w:space="0" w:color="auto"/>
      </w:divBdr>
    </w:div>
    <w:div w:id="1218323551">
      <w:bodyDiv w:val="1"/>
      <w:marLeft w:val="0"/>
      <w:marRight w:val="0"/>
      <w:marTop w:val="0"/>
      <w:marBottom w:val="0"/>
      <w:divBdr>
        <w:top w:val="none" w:sz="0" w:space="0" w:color="auto"/>
        <w:left w:val="none" w:sz="0" w:space="0" w:color="auto"/>
        <w:bottom w:val="none" w:sz="0" w:space="0" w:color="auto"/>
        <w:right w:val="none" w:sz="0" w:space="0" w:color="auto"/>
      </w:divBdr>
    </w:div>
    <w:div w:id="1240940210">
      <w:bodyDiv w:val="1"/>
      <w:marLeft w:val="0"/>
      <w:marRight w:val="0"/>
      <w:marTop w:val="0"/>
      <w:marBottom w:val="0"/>
      <w:divBdr>
        <w:top w:val="none" w:sz="0" w:space="0" w:color="auto"/>
        <w:left w:val="none" w:sz="0" w:space="0" w:color="auto"/>
        <w:bottom w:val="none" w:sz="0" w:space="0" w:color="auto"/>
        <w:right w:val="none" w:sz="0" w:space="0" w:color="auto"/>
      </w:divBdr>
    </w:div>
    <w:div w:id="1326593506">
      <w:bodyDiv w:val="1"/>
      <w:marLeft w:val="0"/>
      <w:marRight w:val="0"/>
      <w:marTop w:val="0"/>
      <w:marBottom w:val="0"/>
      <w:divBdr>
        <w:top w:val="none" w:sz="0" w:space="0" w:color="auto"/>
        <w:left w:val="none" w:sz="0" w:space="0" w:color="auto"/>
        <w:bottom w:val="none" w:sz="0" w:space="0" w:color="auto"/>
        <w:right w:val="none" w:sz="0" w:space="0" w:color="auto"/>
      </w:divBdr>
      <w:divsChild>
        <w:div w:id="751899278">
          <w:marLeft w:val="0"/>
          <w:marRight w:val="0"/>
          <w:marTop w:val="0"/>
          <w:marBottom w:val="0"/>
          <w:divBdr>
            <w:top w:val="none" w:sz="0" w:space="0" w:color="auto"/>
            <w:left w:val="none" w:sz="0" w:space="0" w:color="auto"/>
            <w:bottom w:val="none" w:sz="0" w:space="0" w:color="auto"/>
            <w:right w:val="none" w:sz="0" w:space="0" w:color="auto"/>
          </w:divBdr>
        </w:div>
        <w:div w:id="1674187165">
          <w:marLeft w:val="0"/>
          <w:marRight w:val="0"/>
          <w:marTop w:val="0"/>
          <w:marBottom w:val="0"/>
          <w:divBdr>
            <w:top w:val="none" w:sz="0" w:space="0" w:color="auto"/>
            <w:left w:val="none" w:sz="0" w:space="0" w:color="auto"/>
            <w:bottom w:val="none" w:sz="0" w:space="0" w:color="auto"/>
            <w:right w:val="none" w:sz="0" w:space="0" w:color="auto"/>
          </w:divBdr>
        </w:div>
      </w:divsChild>
    </w:div>
    <w:div w:id="1346052833">
      <w:bodyDiv w:val="1"/>
      <w:marLeft w:val="0"/>
      <w:marRight w:val="0"/>
      <w:marTop w:val="0"/>
      <w:marBottom w:val="0"/>
      <w:divBdr>
        <w:top w:val="none" w:sz="0" w:space="0" w:color="auto"/>
        <w:left w:val="none" w:sz="0" w:space="0" w:color="auto"/>
        <w:bottom w:val="none" w:sz="0" w:space="0" w:color="auto"/>
        <w:right w:val="none" w:sz="0" w:space="0" w:color="auto"/>
      </w:divBdr>
    </w:div>
    <w:div w:id="1347901739">
      <w:bodyDiv w:val="1"/>
      <w:marLeft w:val="0"/>
      <w:marRight w:val="0"/>
      <w:marTop w:val="0"/>
      <w:marBottom w:val="0"/>
      <w:divBdr>
        <w:top w:val="none" w:sz="0" w:space="0" w:color="auto"/>
        <w:left w:val="none" w:sz="0" w:space="0" w:color="auto"/>
        <w:bottom w:val="none" w:sz="0" w:space="0" w:color="auto"/>
        <w:right w:val="none" w:sz="0" w:space="0" w:color="auto"/>
      </w:divBdr>
    </w:div>
    <w:div w:id="1389038667">
      <w:bodyDiv w:val="1"/>
      <w:marLeft w:val="0"/>
      <w:marRight w:val="0"/>
      <w:marTop w:val="0"/>
      <w:marBottom w:val="0"/>
      <w:divBdr>
        <w:top w:val="none" w:sz="0" w:space="0" w:color="auto"/>
        <w:left w:val="none" w:sz="0" w:space="0" w:color="auto"/>
        <w:bottom w:val="none" w:sz="0" w:space="0" w:color="auto"/>
        <w:right w:val="none" w:sz="0" w:space="0" w:color="auto"/>
      </w:divBdr>
    </w:div>
    <w:div w:id="1397050967">
      <w:bodyDiv w:val="1"/>
      <w:marLeft w:val="0"/>
      <w:marRight w:val="0"/>
      <w:marTop w:val="0"/>
      <w:marBottom w:val="0"/>
      <w:divBdr>
        <w:top w:val="none" w:sz="0" w:space="0" w:color="auto"/>
        <w:left w:val="none" w:sz="0" w:space="0" w:color="auto"/>
        <w:bottom w:val="none" w:sz="0" w:space="0" w:color="auto"/>
        <w:right w:val="none" w:sz="0" w:space="0" w:color="auto"/>
      </w:divBdr>
    </w:div>
    <w:div w:id="1425031586">
      <w:bodyDiv w:val="1"/>
      <w:marLeft w:val="0"/>
      <w:marRight w:val="0"/>
      <w:marTop w:val="0"/>
      <w:marBottom w:val="0"/>
      <w:divBdr>
        <w:top w:val="none" w:sz="0" w:space="0" w:color="auto"/>
        <w:left w:val="none" w:sz="0" w:space="0" w:color="auto"/>
        <w:bottom w:val="none" w:sz="0" w:space="0" w:color="auto"/>
        <w:right w:val="none" w:sz="0" w:space="0" w:color="auto"/>
      </w:divBdr>
    </w:div>
    <w:div w:id="1444030548">
      <w:bodyDiv w:val="1"/>
      <w:marLeft w:val="0"/>
      <w:marRight w:val="0"/>
      <w:marTop w:val="0"/>
      <w:marBottom w:val="0"/>
      <w:divBdr>
        <w:top w:val="none" w:sz="0" w:space="0" w:color="auto"/>
        <w:left w:val="none" w:sz="0" w:space="0" w:color="auto"/>
        <w:bottom w:val="none" w:sz="0" w:space="0" w:color="auto"/>
        <w:right w:val="none" w:sz="0" w:space="0" w:color="auto"/>
      </w:divBdr>
    </w:div>
    <w:div w:id="1455369682">
      <w:bodyDiv w:val="1"/>
      <w:marLeft w:val="0"/>
      <w:marRight w:val="0"/>
      <w:marTop w:val="0"/>
      <w:marBottom w:val="0"/>
      <w:divBdr>
        <w:top w:val="none" w:sz="0" w:space="0" w:color="auto"/>
        <w:left w:val="none" w:sz="0" w:space="0" w:color="auto"/>
        <w:bottom w:val="none" w:sz="0" w:space="0" w:color="auto"/>
        <w:right w:val="none" w:sz="0" w:space="0" w:color="auto"/>
      </w:divBdr>
    </w:div>
    <w:div w:id="1471440241">
      <w:bodyDiv w:val="1"/>
      <w:marLeft w:val="0"/>
      <w:marRight w:val="0"/>
      <w:marTop w:val="0"/>
      <w:marBottom w:val="0"/>
      <w:divBdr>
        <w:top w:val="none" w:sz="0" w:space="0" w:color="auto"/>
        <w:left w:val="none" w:sz="0" w:space="0" w:color="auto"/>
        <w:bottom w:val="none" w:sz="0" w:space="0" w:color="auto"/>
        <w:right w:val="none" w:sz="0" w:space="0" w:color="auto"/>
      </w:divBdr>
    </w:div>
    <w:div w:id="1501627168">
      <w:bodyDiv w:val="1"/>
      <w:marLeft w:val="0"/>
      <w:marRight w:val="0"/>
      <w:marTop w:val="0"/>
      <w:marBottom w:val="0"/>
      <w:divBdr>
        <w:top w:val="none" w:sz="0" w:space="0" w:color="auto"/>
        <w:left w:val="none" w:sz="0" w:space="0" w:color="auto"/>
        <w:bottom w:val="none" w:sz="0" w:space="0" w:color="auto"/>
        <w:right w:val="none" w:sz="0" w:space="0" w:color="auto"/>
      </w:divBdr>
    </w:div>
    <w:div w:id="1511605745">
      <w:bodyDiv w:val="1"/>
      <w:marLeft w:val="0"/>
      <w:marRight w:val="0"/>
      <w:marTop w:val="0"/>
      <w:marBottom w:val="0"/>
      <w:divBdr>
        <w:top w:val="none" w:sz="0" w:space="0" w:color="auto"/>
        <w:left w:val="none" w:sz="0" w:space="0" w:color="auto"/>
        <w:bottom w:val="none" w:sz="0" w:space="0" w:color="auto"/>
        <w:right w:val="none" w:sz="0" w:space="0" w:color="auto"/>
      </w:divBdr>
    </w:div>
    <w:div w:id="1543518875">
      <w:bodyDiv w:val="1"/>
      <w:marLeft w:val="0"/>
      <w:marRight w:val="0"/>
      <w:marTop w:val="0"/>
      <w:marBottom w:val="0"/>
      <w:divBdr>
        <w:top w:val="none" w:sz="0" w:space="0" w:color="auto"/>
        <w:left w:val="none" w:sz="0" w:space="0" w:color="auto"/>
        <w:bottom w:val="none" w:sz="0" w:space="0" w:color="auto"/>
        <w:right w:val="none" w:sz="0" w:space="0" w:color="auto"/>
      </w:divBdr>
    </w:div>
    <w:div w:id="1551573564">
      <w:bodyDiv w:val="1"/>
      <w:marLeft w:val="0"/>
      <w:marRight w:val="0"/>
      <w:marTop w:val="0"/>
      <w:marBottom w:val="0"/>
      <w:divBdr>
        <w:top w:val="none" w:sz="0" w:space="0" w:color="auto"/>
        <w:left w:val="none" w:sz="0" w:space="0" w:color="auto"/>
        <w:bottom w:val="none" w:sz="0" w:space="0" w:color="auto"/>
        <w:right w:val="none" w:sz="0" w:space="0" w:color="auto"/>
      </w:divBdr>
    </w:div>
    <w:div w:id="1561476575">
      <w:bodyDiv w:val="1"/>
      <w:marLeft w:val="0"/>
      <w:marRight w:val="0"/>
      <w:marTop w:val="0"/>
      <w:marBottom w:val="0"/>
      <w:divBdr>
        <w:top w:val="none" w:sz="0" w:space="0" w:color="auto"/>
        <w:left w:val="none" w:sz="0" w:space="0" w:color="auto"/>
        <w:bottom w:val="none" w:sz="0" w:space="0" w:color="auto"/>
        <w:right w:val="none" w:sz="0" w:space="0" w:color="auto"/>
      </w:divBdr>
    </w:div>
    <w:div w:id="1608997498">
      <w:bodyDiv w:val="1"/>
      <w:marLeft w:val="0"/>
      <w:marRight w:val="0"/>
      <w:marTop w:val="0"/>
      <w:marBottom w:val="0"/>
      <w:divBdr>
        <w:top w:val="none" w:sz="0" w:space="0" w:color="auto"/>
        <w:left w:val="none" w:sz="0" w:space="0" w:color="auto"/>
        <w:bottom w:val="none" w:sz="0" w:space="0" w:color="auto"/>
        <w:right w:val="none" w:sz="0" w:space="0" w:color="auto"/>
      </w:divBdr>
    </w:div>
    <w:div w:id="1630211242">
      <w:bodyDiv w:val="1"/>
      <w:marLeft w:val="0"/>
      <w:marRight w:val="0"/>
      <w:marTop w:val="0"/>
      <w:marBottom w:val="0"/>
      <w:divBdr>
        <w:top w:val="none" w:sz="0" w:space="0" w:color="auto"/>
        <w:left w:val="none" w:sz="0" w:space="0" w:color="auto"/>
        <w:bottom w:val="none" w:sz="0" w:space="0" w:color="auto"/>
        <w:right w:val="none" w:sz="0" w:space="0" w:color="auto"/>
      </w:divBdr>
      <w:divsChild>
        <w:div w:id="1312714389">
          <w:marLeft w:val="0"/>
          <w:marRight w:val="0"/>
          <w:marTop w:val="0"/>
          <w:marBottom w:val="0"/>
          <w:divBdr>
            <w:top w:val="none" w:sz="0" w:space="0" w:color="auto"/>
            <w:left w:val="none" w:sz="0" w:space="0" w:color="auto"/>
            <w:bottom w:val="none" w:sz="0" w:space="0" w:color="auto"/>
            <w:right w:val="none" w:sz="0" w:space="0" w:color="auto"/>
          </w:divBdr>
        </w:div>
      </w:divsChild>
    </w:div>
    <w:div w:id="1652518192">
      <w:bodyDiv w:val="1"/>
      <w:marLeft w:val="0"/>
      <w:marRight w:val="0"/>
      <w:marTop w:val="0"/>
      <w:marBottom w:val="0"/>
      <w:divBdr>
        <w:top w:val="none" w:sz="0" w:space="0" w:color="auto"/>
        <w:left w:val="none" w:sz="0" w:space="0" w:color="auto"/>
        <w:bottom w:val="none" w:sz="0" w:space="0" w:color="auto"/>
        <w:right w:val="none" w:sz="0" w:space="0" w:color="auto"/>
      </w:divBdr>
    </w:div>
    <w:div w:id="1676613367">
      <w:bodyDiv w:val="1"/>
      <w:marLeft w:val="0"/>
      <w:marRight w:val="0"/>
      <w:marTop w:val="0"/>
      <w:marBottom w:val="0"/>
      <w:divBdr>
        <w:top w:val="none" w:sz="0" w:space="0" w:color="auto"/>
        <w:left w:val="none" w:sz="0" w:space="0" w:color="auto"/>
        <w:bottom w:val="none" w:sz="0" w:space="0" w:color="auto"/>
        <w:right w:val="none" w:sz="0" w:space="0" w:color="auto"/>
      </w:divBdr>
    </w:div>
    <w:div w:id="1678575956">
      <w:bodyDiv w:val="1"/>
      <w:marLeft w:val="0"/>
      <w:marRight w:val="0"/>
      <w:marTop w:val="0"/>
      <w:marBottom w:val="0"/>
      <w:divBdr>
        <w:top w:val="none" w:sz="0" w:space="0" w:color="auto"/>
        <w:left w:val="none" w:sz="0" w:space="0" w:color="auto"/>
        <w:bottom w:val="none" w:sz="0" w:space="0" w:color="auto"/>
        <w:right w:val="none" w:sz="0" w:space="0" w:color="auto"/>
      </w:divBdr>
    </w:div>
    <w:div w:id="1686401566">
      <w:bodyDiv w:val="1"/>
      <w:marLeft w:val="0"/>
      <w:marRight w:val="0"/>
      <w:marTop w:val="0"/>
      <w:marBottom w:val="0"/>
      <w:divBdr>
        <w:top w:val="none" w:sz="0" w:space="0" w:color="auto"/>
        <w:left w:val="none" w:sz="0" w:space="0" w:color="auto"/>
        <w:bottom w:val="none" w:sz="0" w:space="0" w:color="auto"/>
        <w:right w:val="none" w:sz="0" w:space="0" w:color="auto"/>
      </w:divBdr>
    </w:div>
    <w:div w:id="1692992218">
      <w:bodyDiv w:val="1"/>
      <w:marLeft w:val="0"/>
      <w:marRight w:val="0"/>
      <w:marTop w:val="0"/>
      <w:marBottom w:val="0"/>
      <w:divBdr>
        <w:top w:val="none" w:sz="0" w:space="0" w:color="auto"/>
        <w:left w:val="none" w:sz="0" w:space="0" w:color="auto"/>
        <w:bottom w:val="none" w:sz="0" w:space="0" w:color="auto"/>
        <w:right w:val="none" w:sz="0" w:space="0" w:color="auto"/>
      </w:divBdr>
    </w:div>
    <w:div w:id="1775513806">
      <w:bodyDiv w:val="1"/>
      <w:marLeft w:val="0"/>
      <w:marRight w:val="0"/>
      <w:marTop w:val="0"/>
      <w:marBottom w:val="0"/>
      <w:divBdr>
        <w:top w:val="none" w:sz="0" w:space="0" w:color="auto"/>
        <w:left w:val="none" w:sz="0" w:space="0" w:color="auto"/>
        <w:bottom w:val="none" w:sz="0" w:space="0" w:color="auto"/>
        <w:right w:val="none" w:sz="0" w:space="0" w:color="auto"/>
      </w:divBdr>
    </w:div>
    <w:div w:id="1781561873">
      <w:bodyDiv w:val="1"/>
      <w:marLeft w:val="0"/>
      <w:marRight w:val="0"/>
      <w:marTop w:val="0"/>
      <w:marBottom w:val="0"/>
      <w:divBdr>
        <w:top w:val="none" w:sz="0" w:space="0" w:color="auto"/>
        <w:left w:val="none" w:sz="0" w:space="0" w:color="auto"/>
        <w:bottom w:val="none" w:sz="0" w:space="0" w:color="auto"/>
        <w:right w:val="none" w:sz="0" w:space="0" w:color="auto"/>
      </w:divBdr>
    </w:div>
    <w:div w:id="1812559155">
      <w:bodyDiv w:val="1"/>
      <w:marLeft w:val="0"/>
      <w:marRight w:val="0"/>
      <w:marTop w:val="0"/>
      <w:marBottom w:val="0"/>
      <w:divBdr>
        <w:top w:val="none" w:sz="0" w:space="0" w:color="auto"/>
        <w:left w:val="none" w:sz="0" w:space="0" w:color="auto"/>
        <w:bottom w:val="none" w:sz="0" w:space="0" w:color="auto"/>
        <w:right w:val="none" w:sz="0" w:space="0" w:color="auto"/>
      </w:divBdr>
    </w:div>
    <w:div w:id="1874491349">
      <w:bodyDiv w:val="1"/>
      <w:marLeft w:val="0"/>
      <w:marRight w:val="0"/>
      <w:marTop w:val="0"/>
      <w:marBottom w:val="0"/>
      <w:divBdr>
        <w:top w:val="none" w:sz="0" w:space="0" w:color="auto"/>
        <w:left w:val="none" w:sz="0" w:space="0" w:color="auto"/>
        <w:bottom w:val="none" w:sz="0" w:space="0" w:color="auto"/>
        <w:right w:val="none" w:sz="0" w:space="0" w:color="auto"/>
      </w:divBdr>
    </w:div>
    <w:div w:id="1876849422">
      <w:bodyDiv w:val="1"/>
      <w:marLeft w:val="0"/>
      <w:marRight w:val="0"/>
      <w:marTop w:val="0"/>
      <w:marBottom w:val="0"/>
      <w:divBdr>
        <w:top w:val="none" w:sz="0" w:space="0" w:color="auto"/>
        <w:left w:val="none" w:sz="0" w:space="0" w:color="auto"/>
        <w:bottom w:val="none" w:sz="0" w:space="0" w:color="auto"/>
        <w:right w:val="none" w:sz="0" w:space="0" w:color="auto"/>
      </w:divBdr>
    </w:div>
    <w:div w:id="1882666355">
      <w:bodyDiv w:val="1"/>
      <w:marLeft w:val="0"/>
      <w:marRight w:val="0"/>
      <w:marTop w:val="0"/>
      <w:marBottom w:val="0"/>
      <w:divBdr>
        <w:top w:val="none" w:sz="0" w:space="0" w:color="auto"/>
        <w:left w:val="none" w:sz="0" w:space="0" w:color="auto"/>
        <w:bottom w:val="none" w:sz="0" w:space="0" w:color="auto"/>
        <w:right w:val="none" w:sz="0" w:space="0" w:color="auto"/>
      </w:divBdr>
    </w:div>
    <w:div w:id="1893299235">
      <w:bodyDiv w:val="1"/>
      <w:marLeft w:val="0"/>
      <w:marRight w:val="0"/>
      <w:marTop w:val="0"/>
      <w:marBottom w:val="0"/>
      <w:divBdr>
        <w:top w:val="none" w:sz="0" w:space="0" w:color="auto"/>
        <w:left w:val="none" w:sz="0" w:space="0" w:color="auto"/>
        <w:bottom w:val="none" w:sz="0" w:space="0" w:color="auto"/>
        <w:right w:val="none" w:sz="0" w:space="0" w:color="auto"/>
      </w:divBdr>
    </w:div>
    <w:div w:id="1904296833">
      <w:bodyDiv w:val="1"/>
      <w:marLeft w:val="0"/>
      <w:marRight w:val="0"/>
      <w:marTop w:val="0"/>
      <w:marBottom w:val="0"/>
      <w:divBdr>
        <w:top w:val="none" w:sz="0" w:space="0" w:color="auto"/>
        <w:left w:val="none" w:sz="0" w:space="0" w:color="auto"/>
        <w:bottom w:val="none" w:sz="0" w:space="0" w:color="auto"/>
        <w:right w:val="none" w:sz="0" w:space="0" w:color="auto"/>
      </w:divBdr>
    </w:div>
    <w:div w:id="1908372824">
      <w:bodyDiv w:val="1"/>
      <w:marLeft w:val="0"/>
      <w:marRight w:val="0"/>
      <w:marTop w:val="0"/>
      <w:marBottom w:val="0"/>
      <w:divBdr>
        <w:top w:val="none" w:sz="0" w:space="0" w:color="auto"/>
        <w:left w:val="none" w:sz="0" w:space="0" w:color="auto"/>
        <w:bottom w:val="none" w:sz="0" w:space="0" w:color="auto"/>
        <w:right w:val="none" w:sz="0" w:space="0" w:color="auto"/>
      </w:divBdr>
    </w:div>
    <w:div w:id="1925721976">
      <w:bodyDiv w:val="1"/>
      <w:marLeft w:val="0"/>
      <w:marRight w:val="0"/>
      <w:marTop w:val="0"/>
      <w:marBottom w:val="0"/>
      <w:divBdr>
        <w:top w:val="none" w:sz="0" w:space="0" w:color="auto"/>
        <w:left w:val="none" w:sz="0" w:space="0" w:color="auto"/>
        <w:bottom w:val="none" w:sz="0" w:space="0" w:color="auto"/>
        <w:right w:val="none" w:sz="0" w:space="0" w:color="auto"/>
      </w:divBdr>
    </w:div>
    <w:div w:id="1937060035">
      <w:bodyDiv w:val="1"/>
      <w:marLeft w:val="0"/>
      <w:marRight w:val="0"/>
      <w:marTop w:val="0"/>
      <w:marBottom w:val="0"/>
      <w:divBdr>
        <w:top w:val="none" w:sz="0" w:space="0" w:color="auto"/>
        <w:left w:val="none" w:sz="0" w:space="0" w:color="auto"/>
        <w:bottom w:val="none" w:sz="0" w:space="0" w:color="auto"/>
        <w:right w:val="none" w:sz="0" w:space="0" w:color="auto"/>
      </w:divBdr>
    </w:div>
    <w:div w:id="1952979817">
      <w:bodyDiv w:val="1"/>
      <w:marLeft w:val="0"/>
      <w:marRight w:val="0"/>
      <w:marTop w:val="0"/>
      <w:marBottom w:val="0"/>
      <w:divBdr>
        <w:top w:val="none" w:sz="0" w:space="0" w:color="auto"/>
        <w:left w:val="none" w:sz="0" w:space="0" w:color="auto"/>
        <w:bottom w:val="none" w:sz="0" w:space="0" w:color="auto"/>
        <w:right w:val="none" w:sz="0" w:space="0" w:color="auto"/>
      </w:divBdr>
    </w:div>
    <w:div w:id="2002733584">
      <w:bodyDiv w:val="1"/>
      <w:marLeft w:val="0"/>
      <w:marRight w:val="0"/>
      <w:marTop w:val="0"/>
      <w:marBottom w:val="0"/>
      <w:divBdr>
        <w:top w:val="none" w:sz="0" w:space="0" w:color="auto"/>
        <w:left w:val="none" w:sz="0" w:space="0" w:color="auto"/>
        <w:bottom w:val="none" w:sz="0" w:space="0" w:color="auto"/>
        <w:right w:val="none" w:sz="0" w:space="0" w:color="auto"/>
      </w:divBdr>
    </w:div>
    <w:div w:id="2010712719">
      <w:bodyDiv w:val="1"/>
      <w:marLeft w:val="0"/>
      <w:marRight w:val="0"/>
      <w:marTop w:val="0"/>
      <w:marBottom w:val="0"/>
      <w:divBdr>
        <w:top w:val="none" w:sz="0" w:space="0" w:color="auto"/>
        <w:left w:val="none" w:sz="0" w:space="0" w:color="auto"/>
        <w:bottom w:val="none" w:sz="0" w:space="0" w:color="auto"/>
        <w:right w:val="none" w:sz="0" w:space="0" w:color="auto"/>
      </w:divBdr>
    </w:div>
    <w:div w:id="2049792970">
      <w:bodyDiv w:val="1"/>
      <w:marLeft w:val="0"/>
      <w:marRight w:val="0"/>
      <w:marTop w:val="0"/>
      <w:marBottom w:val="0"/>
      <w:divBdr>
        <w:top w:val="none" w:sz="0" w:space="0" w:color="auto"/>
        <w:left w:val="none" w:sz="0" w:space="0" w:color="auto"/>
        <w:bottom w:val="none" w:sz="0" w:space="0" w:color="auto"/>
        <w:right w:val="none" w:sz="0" w:space="0" w:color="auto"/>
      </w:divBdr>
    </w:div>
    <w:div w:id="2077627564">
      <w:bodyDiv w:val="1"/>
      <w:marLeft w:val="0"/>
      <w:marRight w:val="0"/>
      <w:marTop w:val="0"/>
      <w:marBottom w:val="0"/>
      <w:divBdr>
        <w:top w:val="none" w:sz="0" w:space="0" w:color="auto"/>
        <w:left w:val="none" w:sz="0" w:space="0" w:color="auto"/>
        <w:bottom w:val="none" w:sz="0" w:space="0" w:color="auto"/>
        <w:right w:val="none" w:sz="0" w:space="0" w:color="auto"/>
      </w:divBdr>
    </w:div>
    <w:div w:id="2078624398">
      <w:bodyDiv w:val="1"/>
      <w:marLeft w:val="0"/>
      <w:marRight w:val="0"/>
      <w:marTop w:val="0"/>
      <w:marBottom w:val="0"/>
      <w:divBdr>
        <w:top w:val="none" w:sz="0" w:space="0" w:color="auto"/>
        <w:left w:val="none" w:sz="0" w:space="0" w:color="auto"/>
        <w:bottom w:val="none" w:sz="0" w:space="0" w:color="auto"/>
        <w:right w:val="none" w:sz="0" w:space="0" w:color="auto"/>
      </w:divBdr>
    </w:div>
    <w:div w:id="2098283742">
      <w:bodyDiv w:val="1"/>
      <w:marLeft w:val="0"/>
      <w:marRight w:val="0"/>
      <w:marTop w:val="0"/>
      <w:marBottom w:val="0"/>
      <w:divBdr>
        <w:top w:val="none" w:sz="0" w:space="0" w:color="auto"/>
        <w:left w:val="none" w:sz="0" w:space="0" w:color="auto"/>
        <w:bottom w:val="none" w:sz="0" w:space="0" w:color="auto"/>
        <w:right w:val="none" w:sz="0" w:space="0" w:color="auto"/>
      </w:divBdr>
    </w:div>
    <w:div w:id="2098284443">
      <w:bodyDiv w:val="1"/>
      <w:marLeft w:val="0"/>
      <w:marRight w:val="0"/>
      <w:marTop w:val="0"/>
      <w:marBottom w:val="0"/>
      <w:divBdr>
        <w:top w:val="none" w:sz="0" w:space="0" w:color="auto"/>
        <w:left w:val="none" w:sz="0" w:space="0" w:color="auto"/>
        <w:bottom w:val="none" w:sz="0" w:space="0" w:color="auto"/>
        <w:right w:val="none" w:sz="0" w:space="0" w:color="auto"/>
      </w:divBdr>
    </w:div>
    <w:div w:id="2134978449">
      <w:bodyDiv w:val="1"/>
      <w:marLeft w:val="0"/>
      <w:marRight w:val="0"/>
      <w:marTop w:val="0"/>
      <w:marBottom w:val="0"/>
      <w:divBdr>
        <w:top w:val="none" w:sz="0" w:space="0" w:color="auto"/>
        <w:left w:val="none" w:sz="0" w:space="0" w:color="auto"/>
        <w:bottom w:val="none" w:sz="0" w:space="0" w:color="auto"/>
        <w:right w:val="none" w:sz="0" w:space="0" w:color="auto"/>
      </w:divBdr>
    </w:div>
    <w:div w:id="21436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cat-network.eu" TargetMode="External"/><Relationship Id="rId18" Type="http://schemas.openxmlformats.org/officeDocument/2006/relationships/image" Target="media/image3.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6.gi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s://vizhub.healthdata.org/gbd-results/" TargetMode="External"/><Relationship Id="rId2" Type="http://schemas.openxmlformats.org/officeDocument/2006/relationships/customXml" Target="../customXml/item2.xml"/><Relationship Id="rId16" Type="http://schemas.openxmlformats.org/officeDocument/2006/relationships/hyperlink" Target="http://www.bornhealthy.org" TargetMode="External"/><Relationship Id="rId20" Type="http://schemas.openxmlformats.org/officeDocument/2006/relationships/image" Target="media/image5.gif"/><Relationship Id="rId29" Type="http://schemas.openxmlformats.org/officeDocument/2006/relationships/hyperlink" Target="http://www.who.int/maternal_child_adolescent/documents/preconception_care_policy_brie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gif"/><Relationship Id="rId5" Type="http://schemas.openxmlformats.org/officeDocument/2006/relationships/numbering" Target="numbering.xml"/><Relationship Id="rId15" Type="http://schemas.openxmlformats.org/officeDocument/2006/relationships/hyperlink" Target="http://www.consang.net" TargetMode="External"/><Relationship Id="rId23" Type="http://schemas.openxmlformats.org/officeDocument/2006/relationships/image" Target="media/image8.gif"/><Relationship Id="rId28" Type="http://schemas.openxmlformats.org/officeDocument/2006/relationships/hyperlink" Target="https://doi.org/10.1002/bdr2.1366" TargetMode="External"/><Relationship Id="rId10" Type="http://schemas.openxmlformats.org/officeDocument/2006/relationships/endnotes" Target="endnotes.xml"/><Relationship Id="rId19" Type="http://schemas.openxmlformats.org/officeDocument/2006/relationships/image" Target="media/image4.gi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bdsr.org" TargetMode="External"/><Relationship Id="rId22" Type="http://schemas.openxmlformats.org/officeDocument/2006/relationships/image" Target="media/image7.gif"/><Relationship Id="rId27" Type="http://schemas.openxmlformats.org/officeDocument/2006/relationships/hyperlink" Target="http://www.consang.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97A2DFBB76478260840D44ED9CB6" ma:contentTypeVersion="0" ma:contentTypeDescription="Create a new document." ma:contentTypeScope="" ma:versionID="f94e2358ff56fa04ac30a7039a4bbd94">
  <xsd:schema xmlns:xsd="http://www.w3.org/2001/XMLSchema" xmlns:xs="http://www.w3.org/2001/XMLSchema" xmlns:p="http://schemas.microsoft.com/office/2006/metadata/properties" targetNamespace="http://schemas.microsoft.com/office/2006/metadata/properties" ma:root="true" ma:fieldsID="50a25e2fb727453e9fd72cddf2e4b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BAF20-4EB6-4594-9394-0F7223B21D8C}">
  <ds:schemaRefs>
    <ds:schemaRef ds:uri="http://schemas.openxmlformats.org/officeDocument/2006/bibliography"/>
  </ds:schemaRefs>
</ds:datastoreItem>
</file>

<file path=customXml/itemProps2.xml><?xml version="1.0" encoding="utf-8"?>
<ds:datastoreItem xmlns:ds="http://schemas.openxmlformats.org/officeDocument/2006/customXml" ds:itemID="{B99D0010-A6D0-4225-971E-0ADECDBF5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3FB680-AB01-4202-A799-973C63DDCEF7}">
  <ds:schemaRefs>
    <ds:schemaRef ds:uri="http://schemas.microsoft.com/sharepoint/v3/contenttype/forms"/>
  </ds:schemaRefs>
</ds:datastoreItem>
</file>

<file path=customXml/itemProps4.xml><?xml version="1.0" encoding="utf-8"?>
<ds:datastoreItem xmlns:ds="http://schemas.openxmlformats.org/officeDocument/2006/customXml" ds:itemID="{5D5719A4-99A3-40C2-BC57-C0FB9B3E1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13777</Words>
  <Characters>78534</Characters>
  <Application>Microsoft Office Word</Application>
  <DocSecurity>4</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92127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Modell</dc:creator>
  <cp:keywords/>
  <dc:description/>
  <cp:lastModifiedBy>Hannah  Blencowe</cp:lastModifiedBy>
  <cp:revision>2</cp:revision>
  <cp:lastPrinted>2023-03-15T19:55:00Z</cp:lastPrinted>
  <dcterms:created xsi:type="dcterms:W3CDTF">2025-03-24T16:47:00Z</dcterms:created>
  <dcterms:modified xsi:type="dcterms:W3CDTF">2025-03-24T16:47:00Z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0x010100222B97A2DFBB76478260840D44ED9CB6</vt:lpwstr>
  </property>
</Properties>
</file>