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4502D2" w14:textId="344135ED" w:rsidR="00000000" w:rsidRPr="00D31778" w:rsidRDefault="00D31778" w:rsidP="00D31778">
      <w:pPr>
        <w:jc w:val="center"/>
        <w:rPr>
          <w:b/>
          <w:bCs/>
        </w:rPr>
      </w:pPr>
      <w:r w:rsidRPr="00D31778">
        <w:rPr>
          <w:b/>
          <w:bCs/>
        </w:rPr>
        <w:t>Appendix 2: Monitoring for Harm</w:t>
      </w:r>
    </w:p>
    <w:p w14:paraId="44BE86E2" w14:textId="5C49785F" w:rsidR="00D31778" w:rsidRPr="00B107CF" w:rsidRDefault="00D31778">
      <w:pPr>
        <w:rPr>
          <w:sz w:val="22"/>
          <w:szCs w:val="22"/>
        </w:rPr>
      </w:pPr>
    </w:p>
    <w:p w14:paraId="47FB33F5" w14:textId="77777777" w:rsidR="00B107CF" w:rsidRPr="00B107CF" w:rsidRDefault="00B107CF" w:rsidP="00B107CF">
      <w:pPr>
        <w:pStyle w:val="Normal1"/>
        <w:jc w:val="both"/>
        <w:rPr>
          <w:rFonts w:cs="Arial"/>
          <w:b/>
          <w:sz w:val="22"/>
          <w:szCs w:val="22"/>
          <w:lang w:val="en-GB"/>
        </w:rPr>
      </w:pPr>
      <w:r w:rsidRPr="00B107CF">
        <w:rPr>
          <w:rFonts w:cs="Arial"/>
          <w:b/>
          <w:sz w:val="22"/>
          <w:szCs w:val="22"/>
          <w:lang w:val="en-GB"/>
        </w:rPr>
        <w:t>Definitions:</w:t>
      </w:r>
    </w:p>
    <w:p w14:paraId="5D792AC0" w14:textId="77777777" w:rsidR="00B107CF" w:rsidRDefault="00B107CF" w:rsidP="00B107CF">
      <w:pPr>
        <w:pStyle w:val="Normal1"/>
        <w:jc w:val="both"/>
        <w:rPr>
          <w:rFonts w:cs="Arial"/>
          <w:b/>
          <w:sz w:val="20"/>
          <w:lang w:val="en-GB"/>
        </w:rPr>
      </w:pPr>
    </w:p>
    <w:p w14:paraId="442222E4" w14:textId="0B051812" w:rsidR="00B107CF" w:rsidRPr="00F63EFF" w:rsidRDefault="00B107CF" w:rsidP="00B107CF">
      <w:pPr>
        <w:pStyle w:val="Normal1"/>
        <w:jc w:val="both"/>
        <w:rPr>
          <w:rFonts w:cs="Arial"/>
          <w:i/>
          <w:iCs/>
          <w:sz w:val="20"/>
          <w:lang w:val="en-GB"/>
        </w:rPr>
      </w:pPr>
      <w:r w:rsidRPr="00F63EFF">
        <w:rPr>
          <w:rFonts w:cs="Arial"/>
          <w:b/>
          <w:sz w:val="20"/>
          <w:lang w:val="en-GB"/>
        </w:rPr>
        <w:t>Adverse Event (AE):</w:t>
      </w:r>
      <w:r w:rsidRPr="00F63EFF">
        <w:rPr>
          <w:rFonts w:cs="Arial"/>
          <w:sz w:val="20"/>
          <w:lang w:val="en-GB"/>
        </w:rPr>
        <w:t xml:space="preserve"> any untoward medical occurrence in a patient or clinical trial subject administered a medicinal product and which does not necessarily have a causal relationship with this treatment.  </w:t>
      </w:r>
      <w:r w:rsidRPr="00F63EFF">
        <w:rPr>
          <w:rFonts w:cs="Arial"/>
          <w:i/>
          <w:iCs/>
          <w:sz w:val="20"/>
          <w:lang w:val="en-GB"/>
        </w:rPr>
        <w:t xml:space="preserve">An AE can therefore be any unfavourable and unintended sign (including an abnormal laboratory finding), symptom, or disease temporally associated with the use of an investigational medicinal product (IMP), </w:t>
      </w:r>
      <w:proofErr w:type="gramStart"/>
      <w:r w:rsidRPr="00F63EFF">
        <w:rPr>
          <w:rFonts w:cs="Arial"/>
          <w:i/>
          <w:iCs/>
          <w:sz w:val="20"/>
          <w:lang w:val="en-GB"/>
        </w:rPr>
        <w:t>whether or not</w:t>
      </w:r>
      <w:proofErr w:type="gramEnd"/>
      <w:r w:rsidRPr="00F63EFF">
        <w:rPr>
          <w:rFonts w:cs="Arial"/>
          <w:i/>
          <w:iCs/>
          <w:sz w:val="20"/>
          <w:lang w:val="en-GB"/>
        </w:rPr>
        <w:t xml:space="preserve"> considered related to the IMP.</w:t>
      </w:r>
    </w:p>
    <w:p w14:paraId="6CA15A52" w14:textId="77777777" w:rsidR="00B107CF" w:rsidRPr="00F63EFF" w:rsidRDefault="00B107CF" w:rsidP="00B107CF">
      <w:pPr>
        <w:pStyle w:val="Normal1"/>
        <w:jc w:val="both"/>
        <w:rPr>
          <w:rFonts w:cs="Arial"/>
          <w:i/>
          <w:iCs/>
          <w:sz w:val="20"/>
          <w:lang w:val="en-GB"/>
        </w:rPr>
      </w:pPr>
    </w:p>
    <w:p w14:paraId="0512DF4C" w14:textId="77777777" w:rsidR="00B107CF" w:rsidRPr="00F63EFF" w:rsidRDefault="00B107CF" w:rsidP="00B107CF">
      <w:pPr>
        <w:pStyle w:val="Normal1"/>
        <w:jc w:val="both"/>
        <w:rPr>
          <w:rFonts w:cs="Arial"/>
          <w:i/>
          <w:iCs/>
          <w:sz w:val="20"/>
          <w:lang w:val="en-GB"/>
        </w:rPr>
      </w:pPr>
      <w:r w:rsidRPr="00F63EFF">
        <w:rPr>
          <w:rFonts w:cs="Arial"/>
          <w:b/>
          <w:bCs/>
          <w:sz w:val="20"/>
          <w:lang w:val="en-GB"/>
        </w:rPr>
        <w:t>Adverse Reaction (AR):</w:t>
      </w:r>
      <w:r w:rsidRPr="00F63EFF">
        <w:rPr>
          <w:rFonts w:cs="Arial"/>
          <w:sz w:val="20"/>
          <w:lang w:val="en-GB"/>
        </w:rPr>
        <w:t xml:space="preserve"> all untoward and unintended responses to an IMP related to any dose administered.  </w:t>
      </w:r>
      <w:r w:rsidRPr="00F63EFF">
        <w:rPr>
          <w:rFonts w:cs="Arial"/>
          <w:i/>
          <w:iCs/>
          <w:sz w:val="20"/>
          <w:lang w:val="en-GB"/>
        </w:rPr>
        <w:t>All AEs judged by either the reporting investigator or the sponsor as having reasonable causal relationship to a medicinal produc</w:t>
      </w:r>
      <w:r>
        <w:rPr>
          <w:rFonts w:cs="Arial"/>
          <w:i/>
          <w:iCs/>
          <w:sz w:val="20"/>
          <w:lang w:val="en-GB"/>
        </w:rPr>
        <w:t>t qualify as adverse reactions.</w:t>
      </w:r>
      <w:r w:rsidRPr="00F63EFF">
        <w:rPr>
          <w:rFonts w:cs="Arial"/>
          <w:i/>
          <w:iCs/>
          <w:sz w:val="20"/>
          <w:lang w:val="en-GB"/>
        </w:rPr>
        <w:t xml:space="preserve"> The expression reasonable causal relationship means to convey in general that there is evidence or argument to suggest a causal relationship.</w:t>
      </w:r>
    </w:p>
    <w:p w14:paraId="400D227A" w14:textId="77777777" w:rsidR="00B107CF" w:rsidRPr="00F63EFF" w:rsidRDefault="00B107CF" w:rsidP="00B107CF">
      <w:pPr>
        <w:pStyle w:val="Normal1"/>
        <w:jc w:val="both"/>
        <w:rPr>
          <w:rFonts w:cs="Arial"/>
          <w:i/>
          <w:iCs/>
          <w:sz w:val="20"/>
          <w:lang w:val="en-GB"/>
        </w:rPr>
      </w:pPr>
    </w:p>
    <w:p w14:paraId="52F0812E" w14:textId="77777777" w:rsidR="00B107CF" w:rsidRPr="00F63EFF" w:rsidRDefault="00B107CF" w:rsidP="00B107CF">
      <w:pPr>
        <w:pStyle w:val="Normal1"/>
        <w:jc w:val="both"/>
        <w:rPr>
          <w:rFonts w:cs="Arial"/>
          <w:i/>
          <w:iCs/>
          <w:sz w:val="20"/>
          <w:lang w:val="en-GB"/>
        </w:rPr>
      </w:pPr>
      <w:r w:rsidRPr="00F63EFF">
        <w:rPr>
          <w:rFonts w:cs="Arial"/>
          <w:b/>
          <w:bCs/>
          <w:sz w:val="20"/>
          <w:lang w:val="en-GB"/>
        </w:rPr>
        <w:t>Unexpected Adverse Reaction:</w:t>
      </w:r>
      <w:r w:rsidRPr="00F63EFF">
        <w:rPr>
          <w:rFonts w:cs="Arial"/>
          <w:sz w:val="20"/>
          <w:lang w:val="en-GB"/>
        </w:rPr>
        <w:t xml:space="preserve"> an AR, the nature or severity of which is not consistent with the applicable product information (e.g. investigator’s brochure for an unapproved investigational product or summary of product characteristics (SmPC) for an authorised product</w:t>
      </w:r>
      <w:r w:rsidRPr="00F63EFF">
        <w:rPr>
          <w:rFonts w:cs="Arial"/>
          <w:i/>
          <w:iCs/>
          <w:sz w:val="20"/>
          <w:lang w:val="en-GB"/>
        </w:rPr>
        <w:t>).  When the outcome of the adverse reaction is not consistent with the applicable product information this adverse reaction should be considered as unexpected.  Side effects documented in the SmPC which occur in a more severe form than anticipated are also considered to be unexpected.</w:t>
      </w:r>
    </w:p>
    <w:p w14:paraId="6F9899E6" w14:textId="77777777" w:rsidR="00B107CF" w:rsidRPr="00F63EFF" w:rsidRDefault="00B107CF" w:rsidP="00B107CF">
      <w:pPr>
        <w:pStyle w:val="Normal1"/>
        <w:jc w:val="both"/>
        <w:rPr>
          <w:rFonts w:cs="Arial"/>
          <w:i/>
          <w:iCs/>
          <w:sz w:val="20"/>
          <w:lang w:val="en-GB"/>
        </w:rPr>
      </w:pPr>
    </w:p>
    <w:p w14:paraId="4C5504BD" w14:textId="77777777" w:rsidR="00B107CF" w:rsidRPr="00F63EFF" w:rsidRDefault="00B107CF" w:rsidP="00B107CF">
      <w:pPr>
        <w:pStyle w:val="Normal1"/>
        <w:jc w:val="both"/>
        <w:rPr>
          <w:rFonts w:cs="Arial"/>
          <w:sz w:val="20"/>
          <w:lang w:val="en-GB"/>
        </w:rPr>
      </w:pPr>
      <w:r w:rsidRPr="00F63EFF">
        <w:rPr>
          <w:rFonts w:cs="Arial"/>
          <w:b/>
          <w:sz w:val="20"/>
          <w:lang w:val="en-GB"/>
        </w:rPr>
        <w:t>Serious Adverse Event</w:t>
      </w:r>
      <w:r w:rsidRPr="00F63EFF">
        <w:rPr>
          <w:rFonts w:cs="Arial"/>
          <w:sz w:val="20"/>
          <w:lang w:val="en-GB"/>
        </w:rPr>
        <w:t xml:space="preserve"> </w:t>
      </w:r>
      <w:r w:rsidRPr="00F63EFF">
        <w:rPr>
          <w:rFonts w:cs="Arial"/>
          <w:b/>
          <w:bCs/>
          <w:sz w:val="20"/>
          <w:lang w:val="en-GB"/>
        </w:rPr>
        <w:t>(SAE)</w:t>
      </w:r>
      <w:r w:rsidRPr="00F63EFF">
        <w:rPr>
          <w:rFonts w:cs="Arial"/>
          <w:sz w:val="20"/>
          <w:lang w:val="en-GB"/>
        </w:rPr>
        <w:t xml:space="preserve"> or </w:t>
      </w:r>
      <w:r w:rsidRPr="00F63EFF">
        <w:rPr>
          <w:rFonts w:cs="Arial"/>
          <w:b/>
          <w:bCs/>
          <w:sz w:val="20"/>
          <w:lang w:val="en-GB"/>
        </w:rPr>
        <w:t>Serious Adverse Reaction:</w:t>
      </w:r>
      <w:r w:rsidRPr="00F63EFF">
        <w:rPr>
          <w:rFonts w:cs="Arial"/>
          <w:sz w:val="20"/>
          <w:lang w:val="en-GB"/>
        </w:rPr>
        <w:t xml:space="preserve"> any untoward medical occurrence or effect that at any dose</w:t>
      </w:r>
    </w:p>
    <w:p w14:paraId="74A3ADFC" w14:textId="77777777" w:rsidR="00B107CF" w:rsidRPr="00F63EFF" w:rsidRDefault="00B107CF" w:rsidP="00B107CF">
      <w:pPr>
        <w:pStyle w:val="Normal1"/>
        <w:numPr>
          <w:ilvl w:val="0"/>
          <w:numId w:val="1"/>
        </w:numPr>
        <w:tabs>
          <w:tab w:val="clear" w:pos="360"/>
          <w:tab w:val="num" w:pos="1260"/>
        </w:tabs>
        <w:ind w:left="1260"/>
        <w:jc w:val="both"/>
        <w:rPr>
          <w:rFonts w:cs="Arial"/>
          <w:b/>
          <w:bCs/>
          <w:sz w:val="20"/>
          <w:lang w:val="en-GB"/>
        </w:rPr>
      </w:pPr>
      <w:r w:rsidRPr="00F63EFF">
        <w:rPr>
          <w:rFonts w:cs="Arial"/>
          <w:b/>
          <w:bCs/>
          <w:sz w:val="20"/>
          <w:lang w:val="en-GB"/>
        </w:rPr>
        <w:t>Results in death</w:t>
      </w:r>
    </w:p>
    <w:p w14:paraId="465688E5" w14:textId="77777777" w:rsidR="00B107CF" w:rsidRPr="00F63EFF" w:rsidRDefault="00B107CF" w:rsidP="00B107CF">
      <w:pPr>
        <w:pStyle w:val="Normal1"/>
        <w:numPr>
          <w:ilvl w:val="0"/>
          <w:numId w:val="1"/>
        </w:numPr>
        <w:tabs>
          <w:tab w:val="clear" w:pos="360"/>
          <w:tab w:val="num" w:pos="1260"/>
        </w:tabs>
        <w:ind w:left="1260"/>
        <w:jc w:val="both"/>
        <w:rPr>
          <w:rFonts w:cs="Arial"/>
          <w:i/>
          <w:iCs/>
          <w:sz w:val="20"/>
          <w:lang w:val="en-GB"/>
        </w:rPr>
      </w:pPr>
      <w:r w:rsidRPr="00F63EFF">
        <w:rPr>
          <w:rFonts w:cs="Arial"/>
          <w:b/>
          <w:bCs/>
          <w:sz w:val="20"/>
          <w:lang w:val="en-GB"/>
        </w:rPr>
        <w:t>Is life-threatening</w:t>
      </w:r>
      <w:r w:rsidRPr="00F63EFF">
        <w:rPr>
          <w:rFonts w:cs="Arial"/>
          <w:sz w:val="20"/>
          <w:lang w:val="en-GB"/>
        </w:rPr>
        <w:t xml:space="preserve"> – </w:t>
      </w:r>
      <w:r w:rsidRPr="00F63EFF">
        <w:rPr>
          <w:rFonts w:cs="Arial"/>
          <w:i/>
          <w:iCs/>
          <w:sz w:val="20"/>
          <w:lang w:val="en-GB"/>
        </w:rPr>
        <w:t xml:space="preserve">refers to an event in which the subject was at risk of death at the time of the event; it does not refer to an event which hypothetically might have caused death if it were more </w:t>
      </w:r>
      <w:proofErr w:type="gramStart"/>
      <w:r w:rsidRPr="00F63EFF">
        <w:rPr>
          <w:rFonts w:cs="Arial"/>
          <w:i/>
          <w:iCs/>
          <w:sz w:val="20"/>
          <w:lang w:val="en-GB"/>
        </w:rPr>
        <w:t>severe</w:t>
      </w:r>
      <w:proofErr w:type="gramEnd"/>
    </w:p>
    <w:p w14:paraId="00CE85B3" w14:textId="77777777" w:rsidR="00B107CF" w:rsidRPr="00F63EFF" w:rsidRDefault="00B107CF" w:rsidP="00B107CF">
      <w:pPr>
        <w:pStyle w:val="Normal1"/>
        <w:numPr>
          <w:ilvl w:val="0"/>
          <w:numId w:val="1"/>
        </w:numPr>
        <w:tabs>
          <w:tab w:val="clear" w:pos="360"/>
          <w:tab w:val="num" w:pos="1260"/>
        </w:tabs>
        <w:ind w:left="1260"/>
        <w:jc w:val="both"/>
        <w:rPr>
          <w:rFonts w:cs="Arial"/>
          <w:b/>
          <w:bCs/>
          <w:sz w:val="20"/>
          <w:lang w:val="en-GB"/>
        </w:rPr>
      </w:pPr>
      <w:r w:rsidRPr="00F63EFF">
        <w:rPr>
          <w:rFonts w:cs="Arial"/>
          <w:b/>
          <w:bCs/>
          <w:sz w:val="20"/>
          <w:lang w:val="en-GB"/>
        </w:rPr>
        <w:t xml:space="preserve">Requires hospitalisation, or prolongation of existing inpatients’ </w:t>
      </w:r>
      <w:proofErr w:type="gramStart"/>
      <w:r w:rsidRPr="00F63EFF">
        <w:rPr>
          <w:rFonts w:cs="Arial"/>
          <w:b/>
          <w:bCs/>
          <w:sz w:val="20"/>
          <w:lang w:val="en-GB"/>
        </w:rPr>
        <w:t>hospitalisation</w:t>
      </w:r>
      <w:proofErr w:type="gramEnd"/>
    </w:p>
    <w:p w14:paraId="0DEBC29A" w14:textId="77777777" w:rsidR="00B107CF" w:rsidRPr="00F63EFF" w:rsidRDefault="00B107CF" w:rsidP="00B107CF">
      <w:pPr>
        <w:pStyle w:val="Normal1"/>
        <w:numPr>
          <w:ilvl w:val="0"/>
          <w:numId w:val="1"/>
        </w:numPr>
        <w:tabs>
          <w:tab w:val="clear" w:pos="360"/>
          <w:tab w:val="num" w:pos="1260"/>
        </w:tabs>
        <w:ind w:left="1260"/>
        <w:jc w:val="both"/>
        <w:rPr>
          <w:rFonts w:cs="Arial"/>
          <w:b/>
          <w:bCs/>
          <w:sz w:val="20"/>
          <w:lang w:val="en-GB"/>
        </w:rPr>
      </w:pPr>
      <w:r w:rsidRPr="00F63EFF">
        <w:rPr>
          <w:rFonts w:cs="Arial"/>
          <w:b/>
          <w:bCs/>
          <w:sz w:val="20"/>
          <w:lang w:val="en-GB"/>
        </w:rPr>
        <w:t>Results in persistent or significant disability or incapacity</w:t>
      </w:r>
    </w:p>
    <w:p w14:paraId="2895459F" w14:textId="77777777" w:rsidR="00B107CF" w:rsidRPr="00F63EFF" w:rsidRDefault="00B107CF" w:rsidP="00B107CF">
      <w:pPr>
        <w:pStyle w:val="Normal1"/>
        <w:numPr>
          <w:ilvl w:val="0"/>
          <w:numId w:val="1"/>
        </w:numPr>
        <w:tabs>
          <w:tab w:val="clear" w:pos="360"/>
          <w:tab w:val="num" w:pos="1260"/>
        </w:tabs>
        <w:ind w:left="1260"/>
        <w:jc w:val="both"/>
        <w:rPr>
          <w:rFonts w:cs="Arial"/>
          <w:b/>
          <w:bCs/>
          <w:sz w:val="20"/>
          <w:lang w:val="en-GB"/>
        </w:rPr>
      </w:pPr>
      <w:r w:rsidRPr="00F63EFF">
        <w:rPr>
          <w:rFonts w:cs="Arial"/>
          <w:b/>
          <w:bCs/>
          <w:sz w:val="20"/>
          <w:lang w:val="en-GB"/>
        </w:rPr>
        <w:t xml:space="preserve">Is a congenital anomaly or birth </w:t>
      </w:r>
      <w:proofErr w:type="gramStart"/>
      <w:r w:rsidRPr="00F63EFF">
        <w:rPr>
          <w:rFonts w:cs="Arial"/>
          <w:b/>
          <w:bCs/>
          <w:sz w:val="20"/>
          <w:lang w:val="en-GB"/>
        </w:rPr>
        <w:t>defect</w:t>
      </w:r>
      <w:proofErr w:type="gramEnd"/>
    </w:p>
    <w:p w14:paraId="019CA22B" w14:textId="77777777" w:rsidR="00B107CF" w:rsidRPr="00F63EFF" w:rsidRDefault="00B107CF" w:rsidP="00B107CF">
      <w:pPr>
        <w:pStyle w:val="Normal1"/>
        <w:jc w:val="both"/>
        <w:rPr>
          <w:rFonts w:cs="Arial"/>
          <w:bCs/>
          <w:sz w:val="20"/>
          <w:lang w:val="en-GB"/>
        </w:rPr>
      </w:pPr>
    </w:p>
    <w:p w14:paraId="71060CB2" w14:textId="77777777" w:rsidR="00B107CF" w:rsidRPr="00F63EFF" w:rsidRDefault="00B107CF" w:rsidP="00B107CF">
      <w:pPr>
        <w:pStyle w:val="Normal1"/>
        <w:jc w:val="both"/>
        <w:rPr>
          <w:rFonts w:cs="Arial"/>
          <w:sz w:val="20"/>
          <w:lang w:val="en-GB"/>
        </w:rPr>
      </w:pPr>
      <w:r w:rsidRPr="00F63EFF">
        <w:rPr>
          <w:rFonts w:cs="Arial"/>
          <w:sz w:val="20"/>
          <w:lang w:val="en-GB"/>
        </w:rPr>
        <w:t>Medical judgement should be exercised in deciding whether an AE/AR is serious in other situations.  Important AE/ARs that are not immediately life-threatening or do not result in death or hospitalisation but may jeopardise the subject or may require intervention to prevent one of the other outcomes listed in the definition above, should also be considered serious.</w:t>
      </w:r>
    </w:p>
    <w:p w14:paraId="1021EC49" w14:textId="77777777" w:rsidR="00B107CF" w:rsidRPr="00F63EFF" w:rsidRDefault="00B107CF" w:rsidP="00B107CF">
      <w:pPr>
        <w:pStyle w:val="Normal1"/>
        <w:jc w:val="both"/>
        <w:rPr>
          <w:rFonts w:cs="Arial"/>
          <w:b/>
          <w:bCs/>
          <w:sz w:val="20"/>
          <w:lang w:val="en-GB"/>
        </w:rPr>
      </w:pPr>
    </w:p>
    <w:p w14:paraId="00726B17" w14:textId="77777777" w:rsidR="00B107CF" w:rsidRDefault="00B107CF" w:rsidP="00B107CF">
      <w:pPr>
        <w:pStyle w:val="Normal1"/>
        <w:jc w:val="both"/>
        <w:rPr>
          <w:rFonts w:cs="Arial"/>
          <w:sz w:val="20"/>
          <w:lang w:val="en-GB"/>
        </w:rPr>
      </w:pPr>
      <w:r w:rsidRPr="00F63EFF">
        <w:rPr>
          <w:rFonts w:cs="Arial"/>
          <w:b/>
          <w:bCs/>
          <w:sz w:val="20"/>
          <w:lang w:val="en-GB"/>
        </w:rPr>
        <w:t>Suspected Unexpected Serious Adverse Reaction (SUSAR):</w:t>
      </w:r>
      <w:r w:rsidRPr="00F63EFF">
        <w:rPr>
          <w:rFonts w:cs="Arial"/>
          <w:sz w:val="20"/>
          <w:lang w:val="en-GB"/>
        </w:rPr>
        <w:t xml:space="preserve"> any suspected adverse reaction related to an IMP that i</w:t>
      </w:r>
      <w:bookmarkStart w:id="0" w:name="_Toc83716026"/>
      <w:bookmarkStart w:id="1" w:name="_Toc83716797"/>
      <w:bookmarkStart w:id="2" w:name="_Toc83794839"/>
      <w:bookmarkStart w:id="3" w:name="_Toc213060320"/>
      <w:bookmarkStart w:id="4" w:name="_Toc83190851"/>
      <w:bookmarkStart w:id="5" w:name="_Toc83191799"/>
      <w:bookmarkStart w:id="6" w:name="_Toc83714582"/>
      <w:r>
        <w:rPr>
          <w:rFonts w:cs="Arial"/>
          <w:sz w:val="20"/>
          <w:lang w:val="en-GB"/>
        </w:rPr>
        <w:t>s both unexpected and serious.</w:t>
      </w:r>
    </w:p>
    <w:p w14:paraId="4082F82B" w14:textId="77777777" w:rsidR="00B107CF" w:rsidRDefault="00B107CF" w:rsidP="00B107CF">
      <w:pPr>
        <w:pStyle w:val="Normal1"/>
        <w:jc w:val="both"/>
        <w:rPr>
          <w:rFonts w:cs="Arial"/>
          <w:sz w:val="20"/>
          <w:lang w:val="en-GB"/>
        </w:rPr>
      </w:pPr>
    </w:p>
    <w:p w14:paraId="54F67587" w14:textId="77777777" w:rsidR="00B107CF" w:rsidRDefault="00B107CF" w:rsidP="00B107CF">
      <w:pPr>
        <w:pStyle w:val="Heading2"/>
        <w:numPr>
          <w:ilvl w:val="0"/>
          <w:numId w:val="0"/>
        </w:numPr>
      </w:pPr>
      <w:bookmarkStart w:id="7" w:name="_Toc3989307"/>
      <w:bookmarkEnd w:id="0"/>
      <w:bookmarkEnd w:id="1"/>
      <w:bookmarkEnd w:id="2"/>
      <w:bookmarkEnd w:id="3"/>
    </w:p>
    <w:p w14:paraId="7D75D967" w14:textId="77777777" w:rsidR="00B107CF" w:rsidRDefault="00B107CF">
      <w:pPr>
        <w:rPr>
          <w:rFonts w:ascii="Arial" w:eastAsiaTheme="majorEastAsia" w:hAnsi="Arial" w:cs="Arial"/>
          <w:b/>
          <w:bCs/>
          <w:color w:val="000000" w:themeColor="text1"/>
          <w:sz w:val="22"/>
          <w:szCs w:val="22"/>
          <w:lang w:eastAsia="en-GB"/>
        </w:rPr>
      </w:pPr>
      <w:r>
        <w:rPr>
          <w:sz w:val="22"/>
          <w:szCs w:val="22"/>
        </w:rPr>
        <w:br w:type="page"/>
      </w:r>
    </w:p>
    <w:p w14:paraId="7B7766E8" w14:textId="3C0DEE25" w:rsidR="00B107CF" w:rsidRPr="00B107CF" w:rsidRDefault="00B107CF" w:rsidP="00B107CF">
      <w:pPr>
        <w:pStyle w:val="Heading2"/>
        <w:numPr>
          <w:ilvl w:val="0"/>
          <w:numId w:val="0"/>
        </w:numPr>
        <w:rPr>
          <w:sz w:val="22"/>
          <w:szCs w:val="22"/>
        </w:rPr>
      </w:pPr>
      <w:r w:rsidRPr="00B107CF">
        <w:rPr>
          <w:sz w:val="22"/>
          <w:szCs w:val="22"/>
        </w:rPr>
        <w:lastRenderedPageBreak/>
        <w:t>Causality</w:t>
      </w:r>
      <w:bookmarkEnd w:id="7"/>
    </w:p>
    <w:bookmarkEnd w:id="4"/>
    <w:bookmarkEnd w:id="5"/>
    <w:bookmarkEnd w:id="6"/>
    <w:p w14:paraId="2EB3BD0E" w14:textId="77777777" w:rsidR="00B107CF" w:rsidRDefault="00B107CF" w:rsidP="00B107CF">
      <w:pPr>
        <w:pStyle w:val="Normal1"/>
        <w:jc w:val="both"/>
        <w:rPr>
          <w:rFonts w:cs="Arial"/>
          <w:sz w:val="20"/>
          <w:lang w:val="en-GB"/>
        </w:rPr>
      </w:pPr>
      <w:r w:rsidRPr="00F63EFF">
        <w:rPr>
          <w:rFonts w:cs="Arial"/>
          <w:bCs/>
          <w:sz w:val="20"/>
          <w:lang w:val="en-GB"/>
        </w:rPr>
        <w:t>Most adverse events and adverse drug reactions that occur in this study, whether they are serious or not, will be expected treatment-related toxicities due to the drugs used in this study.  The assignment of the causality should be made by the investigator responsible for the care of the participant</w:t>
      </w:r>
      <w:r w:rsidRPr="00F63EFF">
        <w:rPr>
          <w:rFonts w:cs="Arial"/>
          <w:sz w:val="20"/>
          <w:lang w:val="en-GB"/>
        </w:rPr>
        <w:t xml:space="preserve"> using the definitions in the table below.</w:t>
      </w:r>
    </w:p>
    <w:p w14:paraId="0E57AE26" w14:textId="77777777" w:rsidR="00B107CF" w:rsidRPr="00F63EFF" w:rsidRDefault="00B107CF" w:rsidP="00B107CF">
      <w:pPr>
        <w:pStyle w:val="Normal1"/>
        <w:jc w:val="both"/>
        <w:rPr>
          <w:rFonts w:cs="Arial"/>
          <w:sz w:val="20"/>
          <w:lang w:val="en-GB"/>
        </w:rPr>
      </w:pP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8199"/>
      </w:tblGrid>
      <w:tr w:rsidR="00B107CF" w:rsidRPr="00F63EFF" w14:paraId="475A07EC" w14:textId="77777777" w:rsidTr="0019143A">
        <w:tc>
          <w:tcPr>
            <w:tcW w:w="1701" w:type="dxa"/>
          </w:tcPr>
          <w:p w14:paraId="406895C8" w14:textId="77777777" w:rsidR="00B107CF" w:rsidRPr="00F63EFF" w:rsidRDefault="00B107CF" w:rsidP="0019143A">
            <w:pPr>
              <w:pStyle w:val="Normal1"/>
              <w:rPr>
                <w:rFonts w:cs="Arial"/>
                <w:b/>
                <w:bCs/>
                <w:sz w:val="20"/>
                <w:lang w:val="en-GB"/>
              </w:rPr>
            </w:pPr>
            <w:r w:rsidRPr="00F63EFF">
              <w:rPr>
                <w:rFonts w:cs="Arial"/>
                <w:b/>
                <w:bCs/>
                <w:sz w:val="20"/>
                <w:lang w:val="en-GB"/>
              </w:rPr>
              <w:t>Relationship</w:t>
            </w:r>
          </w:p>
        </w:tc>
        <w:tc>
          <w:tcPr>
            <w:tcW w:w="8199" w:type="dxa"/>
          </w:tcPr>
          <w:p w14:paraId="0746EF61" w14:textId="77777777" w:rsidR="00B107CF" w:rsidRPr="00F63EFF" w:rsidRDefault="00B107CF" w:rsidP="0019143A">
            <w:pPr>
              <w:pStyle w:val="Normal1"/>
              <w:rPr>
                <w:rFonts w:cs="Arial"/>
                <w:b/>
                <w:bCs/>
                <w:sz w:val="20"/>
                <w:lang w:val="en-GB"/>
              </w:rPr>
            </w:pPr>
            <w:r w:rsidRPr="00F63EFF">
              <w:rPr>
                <w:rFonts w:cs="Arial"/>
                <w:b/>
                <w:bCs/>
                <w:sz w:val="20"/>
                <w:lang w:val="en-GB"/>
              </w:rPr>
              <w:t>Description</w:t>
            </w:r>
          </w:p>
        </w:tc>
      </w:tr>
      <w:tr w:rsidR="00B107CF" w:rsidRPr="00F63EFF" w14:paraId="480AED16" w14:textId="77777777" w:rsidTr="0019143A">
        <w:tc>
          <w:tcPr>
            <w:tcW w:w="1701" w:type="dxa"/>
          </w:tcPr>
          <w:p w14:paraId="63EEBE9A" w14:textId="77777777" w:rsidR="00B107CF" w:rsidRPr="00F63EFF" w:rsidRDefault="00B107CF" w:rsidP="0019143A">
            <w:pPr>
              <w:pStyle w:val="Normal1"/>
              <w:rPr>
                <w:rFonts w:cs="Arial"/>
                <w:b/>
                <w:bCs/>
                <w:sz w:val="20"/>
                <w:lang w:val="en-GB"/>
              </w:rPr>
            </w:pPr>
            <w:r w:rsidRPr="00F63EFF">
              <w:rPr>
                <w:rFonts w:cs="Arial"/>
                <w:b/>
                <w:bCs/>
                <w:sz w:val="20"/>
                <w:lang w:val="en-GB"/>
              </w:rPr>
              <w:t>Unrelated</w:t>
            </w:r>
          </w:p>
        </w:tc>
        <w:tc>
          <w:tcPr>
            <w:tcW w:w="8199" w:type="dxa"/>
          </w:tcPr>
          <w:p w14:paraId="5912F9ED" w14:textId="77777777" w:rsidR="00B107CF" w:rsidRPr="00F63EFF" w:rsidRDefault="00B107CF" w:rsidP="0019143A">
            <w:pPr>
              <w:pStyle w:val="Normal1"/>
              <w:rPr>
                <w:rFonts w:cs="Arial"/>
                <w:sz w:val="20"/>
                <w:lang w:val="en-GB"/>
              </w:rPr>
            </w:pPr>
            <w:r w:rsidRPr="00F63EFF">
              <w:rPr>
                <w:rFonts w:cs="Arial"/>
                <w:sz w:val="20"/>
                <w:lang w:val="en-GB"/>
              </w:rPr>
              <w:t>There is no evidence of any causal relationship</w:t>
            </w:r>
          </w:p>
        </w:tc>
      </w:tr>
      <w:tr w:rsidR="00B107CF" w:rsidRPr="00F63EFF" w14:paraId="4E08310D" w14:textId="77777777" w:rsidTr="0019143A">
        <w:tc>
          <w:tcPr>
            <w:tcW w:w="1701" w:type="dxa"/>
          </w:tcPr>
          <w:p w14:paraId="663645B9" w14:textId="77777777" w:rsidR="00B107CF" w:rsidRPr="00F63EFF" w:rsidRDefault="00B107CF" w:rsidP="0019143A">
            <w:pPr>
              <w:pStyle w:val="Normal1"/>
              <w:rPr>
                <w:rFonts w:cs="Arial"/>
                <w:b/>
                <w:bCs/>
                <w:sz w:val="20"/>
                <w:lang w:val="en-GB"/>
              </w:rPr>
            </w:pPr>
            <w:r w:rsidRPr="00F63EFF">
              <w:rPr>
                <w:rFonts w:cs="Arial"/>
                <w:b/>
                <w:bCs/>
                <w:sz w:val="20"/>
                <w:lang w:val="en-GB"/>
              </w:rPr>
              <w:t>Unlikely</w:t>
            </w:r>
          </w:p>
        </w:tc>
        <w:tc>
          <w:tcPr>
            <w:tcW w:w="8199" w:type="dxa"/>
          </w:tcPr>
          <w:p w14:paraId="4B1DB727" w14:textId="77777777" w:rsidR="00B107CF" w:rsidRPr="00F63EFF" w:rsidRDefault="00B107CF" w:rsidP="0019143A">
            <w:pPr>
              <w:pStyle w:val="Normal1"/>
              <w:rPr>
                <w:rFonts w:cs="Arial"/>
                <w:sz w:val="20"/>
                <w:lang w:val="en-GB"/>
              </w:rPr>
            </w:pPr>
            <w:r w:rsidRPr="00F63EFF">
              <w:rPr>
                <w:rFonts w:cs="Arial"/>
                <w:sz w:val="20"/>
                <w:lang w:val="en-GB"/>
              </w:rPr>
              <w:t>There is little evidence to suggest there is a causal relationship (e.g. the event did not occur within a reasonable time after administration of the trial medication).  There is another reasonable explanation for the event (e.g. the participant’s clinical condition, other concomitant treatment).</w:t>
            </w:r>
          </w:p>
        </w:tc>
      </w:tr>
      <w:tr w:rsidR="00B107CF" w:rsidRPr="00F63EFF" w14:paraId="223E9797" w14:textId="77777777" w:rsidTr="0019143A">
        <w:tc>
          <w:tcPr>
            <w:tcW w:w="1701" w:type="dxa"/>
          </w:tcPr>
          <w:p w14:paraId="2B4EB06B" w14:textId="77777777" w:rsidR="00B107CF" w:rsidRPr="00F63EFF" w:rsidRDefault="00B107CF" w:rsidP="0019143A">
            <w:pPr>
              <w:pStyle w:val="Normal1"/>
              <w:rPr>
                <w:rFonts w:cs="Arial"/>
                <w:b/>
                <w:bCs/>
                <w:sz w:val="20"/>
                <w:lang w:val="en-GB"/>
              </w:rPr>
            </w:pPr>
            <w:r w:rsidRPr="00F63EFF">
              <w:rPr>
                <w:rFonts w:cs="Arial"/>
                <w:b/>
                <w:bCs/>
                <w:sz w:val="20"/>
                <w:lang w:val="en-GB"/>
              </w:rPr>
              <w:t>Possible</w:t>
            </w:r>
          </w:p>
        </w:tc>
        <w:tc>
          <w:tcPr>
            <w:tcW w:w="8199" w:type="dxa"/>
          </w:tcPr>
          <w:p w14:paraId="04D2B38B" w14:textId="77777777" w:rsidR="00B107CF" w:rsidRPr="00F63EFF" w:rsidRDefault="00B107CF" w:rsidP="0019143A">
            <w:pPr>
              <w:pStyle w:val="Normal1"/>
              <w:rPr>
                <w:rFonts w:cs="Arial"/>
                <w:sz w:val="20"/>
                <w:lang w:val="en-GB"/>
              </w:rPr>
            </w:pPr>
            <w:r w:rsidRPr="00F63EFF">
              <w:rPr>
                <w:rFonts w:cs="Arial"/>
                <w:sz w:val="20"/>
                <w:lang w:val="en-GB"/>
              </w:rPr>
              <w:t>There is some evidence to suggest a causal relationship (e.g. because the event occurs within a reasonable time after administration of the trial medication).  However, the influence of other factors may have contributed to the event (e.g. the participant’s clinical condition, other concomitant treatments).</w:t>
            </w:r>
          </w:p>
        </w:tc>
      </w:tr>
      <w:tr w:rsidR="00B107CF" w:rsidRPr="00F63EFF" w14:paraId="5F9B95C8" w14:textId="77777777" w:rsidTr="0019143A">
        <w:tc>
          <w:tcPr>
            <w:tcW w:w="1701" w:type="dxa"/>
          </w:tcPr>
          <w:p w14:paraId="564A4941" w14:textId="77777777" w:rsidR="00B107CF" w:rsidRPr="00F63EFF" w:rsidRDefault="00B107CF" w:rsidP="0019143A">
            <w:pPr>
              <w:pStyle w:val="Normal1"/>
              <w:rPr>
                <w:rFonts w:cs="Arial"/>
                <w:b/>
                <w:bCs/>
                <w:sz w:val="20"/>
                <w:lang w:val="en-GB"/>
              </w:rPr>
            </w:pPr>
            <w:r w:rsidRPr="00F63EFF">
              <w:rPr>
                <w:rFonts w:cs="Arial"/>
                <w:b/>
                <w:bCs/>
                <w:sz w:val="20"/>
                <w:lang w:val="en-GB"/>
              </w:rPr>
              <w:t>Probable</w:t>
            </w:r>
          </w:p>
        </w:tc>
        <w:tc>
          <w:tcPr>
            <w:tcW w:w="8199" w:type="dxa"/>
          </w:tcPr>
          <w:p w14:paraId="7AE934CD" w14:textId="77777777" w:rsidR="00B107CF" w:rsidRPr="00F63EFF" w:rsidRDefault="00B107CF" w:rsidP="0019143A">
            <w:pPr>
              <w:pStyle w:val="Normal1"/>
              <w:rPr>
                <w:rFonts w:cs="Arial"/>
                <w:sz w:val="20"/>
                <w:lang w:val="en-GB"/>
              </w:rPr>
            </w:pPr>
            <w:r w:rsidRPr="00F63EFF">
              <w:rPr>
                <w:rFonts w:cs="Arial"/>
                <w:sz w:val="20"/>
                <w:lang w:val="en-GB"/>
              </w:rPr>
              <w:t>There is evidence to suggest a causal relationship and the influence of other factors is unlikely.</w:t>
            </w:r>
          </w:p>
        </w:tc>
      </w:tr>
      <w:tr w:rsidR="00B107CF" w:rsidRPr="00F63EFF" w14:paraId="440F0A37" w14:textId="77777777" w:rsidTr="0019143A">
        <w:tc>
          <w:tcPr>
            <w:tcW w:w="1701" w:type="dxa"/>
          </w:tcPr>
          <w:p w14:paraId="6ECDF67D" w14:textId="77777777" w:rsidR="00B107CF" w:rsidRPr="00F63EFF" w:rsidRDefault="00B107CF" w:rsidP="0019143A">
            <w:pPr>
              <w:pStyle w:val="Normal1"/>
              <w:rPr>
                <w:rFonts w:cs="Arial"/>
                <w:b/>
                <w:bCs/>
                <w:sz w:val="20"/>
                <w:lang w:val="en-GB"/>
              </w:rPr>
            </w:pPr>
            <w:r w:rsidRPr="00F63EFF">
              <w:rPr>
                <w:rFonts w:cs="Arial"/>
                <w:b/>
                <w:bCs/>
                <w:sz w:val="20"/>
                <w:lang w:val="en-GB"/>
              </w:rPr>
              <w:t>Definitely</w:t>
            </w:r>
          </w:p>
        </w:tc>
        <w:tc>
          <w:tcPr>
            <w:tcW w:w="8199" w:type="dxa"/>
          </w:tcPr>
          <w:p w14:paraId="6E761BA2" w14:textId="77777777" w:rsidR="00B107CF" w:rsidRPr="00F63EFF" w:rsidRDefault="00B107CF" w:rsidP="0019143A">
            <w:pPr>
              <w:pStyle w:val="Normal1"/>
              <w:rPr>
                <w:rFonts w:cs="Arial"/>
                <w:sz w:val="20"/>
                <w:lang w:val="en-GB"/>
              </w:rPr>
            </w:pPr>
            <w:r w:rsidRPr="00F63EFF">
              <w:rPr>
                <w:rFonts w:cs="Arial"/>
                <w:sz w:val="20"/>
                <w:lang w:val="en-GB"/>
              </w:rPr>
              <w:t>There is clear evidence to suggest a causal relationship and other possible contributing factors can be ruled out.</w:t>
            </w:r>
          </w:p>
        </w:tc>
      </w:tr>
      <w:tr w:rsidR="00B107CF" w:rsidRPr="00F63EFF" w14:paraId="2E6A83BB" w14:textId="77777777" w:rsidTr="0019143A">
        <w:tc>
          <w:tcPr>
            <w:tcW w:w="1701" w:type="dxa"/>
          </w:tcPr>
          <w:p w14:paraId="1007BD45" w14:textId="77777777" w:rsidR="00B107CF" w:rsidRPr="00F63EFF" w:rsidRDefault="00B107CF" w:rsidP="0019143A">
            <w:pPr>
              <w:pStyle w:val="Normal1"/>
              <w:rPr>
                <w:rFonts w:cs="Arial"/>
                <w:b/>
                <w:bCs/>
                <w:sz w:val="20"/>
                <w:lang w:val="en-GB"/>
              </w:rPr>
            </w:pPr>
            <w:r w:rsidRPr="00F63EFF">
              <w:rPr>
                <w:rFonts w:cs="Arial"/>
                <w:b/>
                <w:bCs/>
                <w:sz w:val="20"/>
                <w:lang w:val="en-GB"/>
              </w:rPr>
              <w:t>Not assessable</w:t>
            </w:r>
          </w:p>
        </w:tc>
        <w:tc>
          <w:tcPr>
            <w:tcW w:w="8199" w:type="dxa"/>
          </w:tcPr>
          <w:p w14:paraId="13F4B904" w14:textId="77777777" w:rsidR="00B107CF" w:rsidRPr="00F63EFF" w:rsidRDefault="00B107CF" w:rsidP="0019143A">
            <w:pPr>
              <w:pStyle w:val="Normal1"/>
              <w:rPr>
                <w:rFonts w:cs="Arial"/>
                <w:sz w:val="20"/>
                <w:lang w:val="en-GB"/>
              </w:rPr>
            </w:pPr>
            <w:r w:rsidRPr="00F63EFF">
              <w:rPr>
                <w:rFonts w:cs="Arial"/>
                <w:sz w:val="20"/>
                <w:lang w:val="en-GB"/>
              </w:rPr>
              <w:t>There is insufficient or incomplete evidence to make a clinical judgement of the causal relationship.</w:t>
            </w:r>
          </w:p>
        </w:tc>
      </w:tr>
    </w:tbl>
    <w:p w14:paraId="18198937" w14:textId="77777777" w:rsidR="00B107CF" w:rsidRDefault="00B107CF" w:rsidP="00B107CF">
      <w:pPr>
        <w:pStyle w:val="Normal1"/>
        <w:jc w:val="both"/>
        <w:rPr>
          <w:rFonts w:cs="Arial"/>
          <w:bCs/>
          <w:sz w:val="20"/>
          <w:lang w:val="en-GB"/>
        </w:rPr>
      </w:pPr>
      <w:bookmarkStart w:id="8" w:name="_Toc83190852"/>
      <w:bookmarkStart w:id="9" w:name="_Toc83191800"/>
      <w:bookmarkStart w:id="10" w:name="_Toc83714583"/>
    </w:p>
    <w:p w14:paraId="474C5607" w14:textId="2D224E10" w:rsidR="00B107CF" w:rsidRPr="00F63EFF" w:rsidRDefault="00B107CF" w:rsidP="00B107CF">
      <w:pPr>
        <w:pStyle w:val="Normal1"/>
        <w:jc w:val="both"/>
        <w:rPr>
          <w:rFonts w:cs="Arial"/>
          <w:bCs/>
          <w:sz w:val="20"/>
          <w:lang w:val="en-GB"/>
        </w:rPr>
      </w:pPr>
      <w:r w:rsidRPr="00F63EFF">
        <w:rPr>
          <w:rFonts w:cs="Arial"/>
          <w:bCs/>
          <w:sz w:val="20"/>
          <w:lang w:val="en-GB"/>
        </w:rPr>
        <w:t xml:space="preserve">If any doubt about the causality </w:t>
      </w:r>
      <w:proofErr w:type="gramStart"/>
      <w:r w:rsidRPr="00F63EFF">
        <w:rPr>
          <w:rFonts w:cs="Arial"/>
          <w:bCs/>
          <w:sz w:val="20"/>
          <w:lang w:val="en-GB"/>
        </w:rPr>
        <w:t>exists</w:t>
      </w:r>
      <w:proofErr w:type="gramEnd"/>
      <w:r w:rsidRPr="00F63EFF">
        <w:rPr>
          <w:rFonts w:cs="Arial"/>
          <w:bCs/>
          <w:sz w:val="20"/>
          <w:lang w:val="en-GB"/>
        </w:rPr>
        <w:t xml:space="preserve"> the local investigator should inform the study coordination centre who will notify the Chief Investigators. The pharmaceutical companies and/or other clinicians may be asked to advise in some cases.</w:t>
      </w:r>
    </w:p>
    <w:p w14:paraId="568D341E" w14:textId="77777777" w:rsidR="00B107CF" w:rsidRPr="00F63EFF" w:rsidRDefault="00B107CF" w:rsidP="00B107CF">
      <w:pPr>
        <w:pStyle w:val="Normal1"/>
        <w:jc w:val="both"/>
        <w:rPr>
          <w:rFonts w:cs="Arial"/>
          <w:bCs/>
          <w:sz w:val="20"/>
          <w:lang w:val="en-GB"/>
        </w:rPr>
      </w:pPr>
    </w:p>
    <w:p w14:paraId="02153A1E" w14:textId="77777777" w:rsidR="00B107CF" w:rsidRDefault="00B107CF" w:rsidP="00B107CF">
      <w:pPr>
        <w:pStyle w:val="Normal1"/>
        <w:jc w:val="both"/>
        <w:rPr>
          <w:rFonts w:cs="Arial"/>
          <w:bCs/>
          <w:sz w:val="20"/>
          <w:lang w:val="en-GB"/>
        </w:rPr>
      </w:pPr>
      <w:r w:rsidRPr="00F63EFF">
        <w:rPr>
          <w:rFonts w:cs="Arial"/>
          <w:bCs/>
          <w:sz w:val="20"/>
          <w:lang w:val="en-GB"/>
        </w:rPr>
        <w:t xml:space="preserve">In the case of discrepant views on causality between the investigator and others, all parties will discuss the case.  </w:t>
      </w:r>
      <w:proofErr w:type="gramStart"/>
      <w:r w:rsidRPr="00F63EFF">
        <w:rPr>
          <w:rFonts w:cs="Arial"/>
          <w:bCs/>
          <w:sz w:val="20"/>
          <w:lang w:val="en-GB"/>
        </w:rPr>
        <w:t>In the event that</w:t>
      </w:r>
      <w:proofErr w:type="gramEnd"/>
      <w:r w:rsidRPr="00F63EFF">
        <w:rPr>
          <w:rFonts w:cs="Arial"/>
          <w:bCs/>
          <w:sz w:val="20"/>
          <w:lang w:val="en-GB"/>
        </w:rPr>
        <w:t xml:space="preserve"> no agreement is made, the </w:t>
      </w:r>
      <w:r>
        <w:rPr>
          <w:rFonts w:cs="Arial"/>
          <w:bCs/>
          <w:sz w:val="20"/>
          <w:lang w:val="en-GB"/>
        </w:rPr>
        <w:t>regulator</w:t>
      </w:r>
      <w:r w:rsidRPr="00F63EFF">
        <w:rPr>
          <w:rFonts w:cs="Arial"/>
          <w:bCs/>
          <w:sz w:val="20"/>
          <w:lang w:val="en-GB"/>
        </w:rPr>
        <w:t xml:space="preserve"> will be informed of both points of view. </w:t>
      </w:r>
    </w:p>
    <w:p w14:paraId="036354DD" w14:textId="77777777" w:rsidR="00B107CF" w:rsidRPr="00F63EFF" w:rsidRDefault="00B107CF" w:rsidP="00B107CF">
      <w:pPr>
        <w:rPr>
          <w:rFonts w:cs="Arial"/>
          <w:caps/>
          <w:smallCaps/>
        </w:rPr>
      </w:pPr>
    </w:p>
    <w:p w14:paraId="2B014FBB" w14:textId="77777777" w:rsidR="00B107CF" w:rsidRDefault="00B107CF">
      <w:pPr>
        <w:rPr>
          <w:rFonts w:ascii="Arial" w:eastAsiaTheme="majorEastAsia" w:hAnsi="Arial" w:cs="Arial"/>
          <w:b/>
          <w:bCs/>
          <w:color w:val="000000" w:themeColor="text1"/>
          <w:sz w:val="22"/>
          <w:szCs w:val="22"/>
          <w:lang w:eastAsia="en-GB"/>
        </w:rPr>
      </w:pPr>
      <w:bookmarkStart w:id="11" w:name="_Toc3989308"/>
      <w:bookmarkEnd w:id="8"/>
      <w:bookmarkEnd w:id="9"/>
      <w:bookmarkEnd w:id="10"/>
      <w:r>
        <w:rPr>
          <w:sz w:val="22"/>
          <w:szCs w:val="22"/>
        </w:rPr>
        <w:br w:type="page"/>
      </w:r>
    </w:p>
    <w:p w14:paraId="14BB4C1A" w14:textId="72C92E47" w:rsidR="00B107CF" w:rsidRPr="00B107CF" w:rsidRDefault="00B107CF" w:rsidP="00B107CF">
      <w:pPr>
        <w:pStyle w:val="Heading2"/>
        <w:numPr>
          <w:ilvl w:val="0"/>
          <w:numId w:val="0"/>
        </w:numPr>
        <w:rPr>
          <w:sz w:val="22"/>
          <w:szCs w:val="22"/>
        </w:rPr>
      </w:pPr>
      <w:r w:rsidRPr="00B107CF">
        <w:rPr>
          <w:sz w:val="22"/>
          <w:szCs w:val="22"/>
        </w:rPr>
        <w:lastRenderedPageBreak/>
        <w:t>Reporting Procedures</w:t>
      </w:r>
      <w:bookmarkEnd w:id="11"/>
    </w:p>
    <w:p w14:paraId="70633331" w14:textId="62F11F54" w:rsidR="00B107CF" w:rsidRPr="00575042" w:rsidRDefault="00B107CF" w:rsidP="00B107CF">
      <w:pPr>
        <w:pStyle w:val="Normal1"/>
        <w:jc w:val="both"/>
        <w:rPr>
          <w:rFonts w:cs="Arial"/>
          <w:bCs/>
          <w:sz w:val="20"/>
          <w:lang w:val="en-GB"/>
        </w:rPr>
      </w:pPr>
      <w:r w:rsidRPr="00F63EFF">
        <w:rPr>
          <w:rFonts w:cs="Arial"/>
          <w:sz w:val="20"/>
          <w:lang w:val="en-GB"/>
        </w:rPr>
        <w:t xml:space="preserve">All adverse events should be reported.  Depending on the nature of the event the reporting procedures below should be followed.  </w:t>
      </w:r>
      <w:r w:rsidRPr="00F63EFF">
        <w:rPr>
          <w:rFonts w:cs="Arial"/>
          <w:bCs/>
          <w:sz w:val="20"/>
          <w:lang w:val="en-GB"/>
        </w:rPr>
        <w:t xml:space="preserve">Any questions concerning adverse event reporting should be directed to the study coordination centre in the </w:t>
      </w:r>
      <w:r w:rsidRPr="00B12C43">
        <w:rPr>
          <w:rFonts w:cs="Arial"/>
          <w:bCs/>
          <w:sz w:val="20"/>
          <w:lang w:val="en-GB"/>
        </w:rPr>
        <w:t>first instance.  A flow</w:t>
      </w:r>
      <w:r>
        <w:rPr>
          <w:rFonts w:cs="Arial"/>
          <w:bCs/>
          <w:sz w:val="20"/>
          <w:lang w:val="en-GB"/>
        </w:rPr>
        <w:t>chart is given below</w:t>
      </w:r>
      <w:r w:rsidRPr="00B12C43">
        <w:rPr>
          <w:rFonts w:cs="Arial"/>
          <w:bCs/>
          <w:sz w:val="20"/>
          <w:lang w:val="en-GB"/>
        </w:rPr>
        <w:t xml:space="preserve"> </w:t>
      </w:r>
      <w:r>
        <w:rPr>
          <w:rFonts w:cs="Arial"/>
          <w:bCs/>
          <w:sz w:val="20"/>
          <w:lang w:val="en-GB"/>
        </w:rPr>
        <w:t xml:space="preserve">(Figure </w:t>
      </w:r>
      <w:r>
        <w:rPr>
          <w:rFonts w:cs="Arial"/>
          <w:bCs/>
          <w:sz w:val="20"/>
          <w:lang w:val="en-GB"/>
        </w:rPr>
        <w:t>1</w:t>
      </w:r>
      <w:r>
        <w:rPr>
          <w:rFonts w:cs="Arial"/>
          <w:bCs/>
          <w:sz w:val="20"/>
          <w:lang w:val="en-GB"/>
        </w:rPr>
        <w:t>)</w:t>
      </w:r>
      <w:r w:rsidRPr="00B12C43">
        <w:rPr>
          <w:rFonts w:cs="Arial"/>
          <w:bCs/>
          <w:sz w:val="20"/>
          <w:lang w:val="en-GB"/>
        </w:rPr>
        <w:t xml:space="preserve"> to aid in the reporting procedures </w:t>
      </w:r>
      <w:r w:rsidRPr="00575042">
        <w:rPr>
          <w:rFonts w:cs="Arial"/>
          <w:bCs/>
          <w:sz w:val="20"/>
          <w:lang w:val="en-GB"/>
        </w:rPr>
        <w:t>and the reporting form is sh</w:t>
      </w:r>
      <w:r w:rsidRPr="00EC0961">
        <w:rPr>
          <w:rFonts w:cs="Arial"/>
          <w:bCs/>
          <w:sz w:val="20"/>
          <w:lang w:val="en-GB"/>
        </w:rPr>
        <w:t>own in (</w:t>
      </w:r>
      <w:r w:rsidRPr="00EC0961">
        <w:rPr>
          <w:rFonts w:cs="Arial"/>
          <w:sz w:val="20"/>
        </w:rPr>
        <w:t>Data Collection Appendix)</w:t>
      </w:r>
      <w:r w:rsidRPr="00EC0961">
        <w:rPr>
          <w:rFonts w:cs="Arial"/>
          <w:bCs/>
          <w:sz w:val="20"/>
          <w:lang w:val="en-GB"/>
        </w:rPr>
        <w:t>.</w:t>
      </w:r>
    </w:p>
    <w:p w14:paraId="28AFC865" w14:textId="77777777" w:rsidR="00B107CF" w:rsidRDefault="00B107CF" w:rsidP="00B107CF">
      <w:pPr>
        <w:pStyle w:val="Normal1"/>
        <w:jc w:val="both"/>
        <w:rPr>
          <w:rFonts w:cs="Arial"/>
          <w:bCs/>
          <w:sz w:val="20"/>
          <w:lang w:val="en-GB"/>
        </w:rPr>
      </w:pPr>
    </w:p>
    <w:p w14:paraId="7AA79A0A" w14:textId="35E7CE12" w:rsidR="00B107CF" w:rsidRPr="008D2F00" w:rsidRDefault="00B107CF" w:rsidP="00B107CF">
      <w:pPr>
        <w:pStyle w:val="Normal1"/>
        <w:jc w:val="both"/>
        <w:rPr>
          <w:rFonts w:cs="Arial"/>
          <w:b/>
          <w:bCs/>
          <w:i/>
          <w:sz w:val="20"/>
          <w:lang w:val="en-GB"/>
        </w:rPr>
      </w:pPr>
      <w:r w:rsidRPr="008D2F00">
        <w:rPr>
          <w:rFonts w:cs="Arial"/>
          <w:b/>
          <w:bCs/>
          <w:i/>
          <w:sz w:val="20"/>
          <w:lang w:val="en-GB"/>
        </w:rPr>
        <w:t xml:space="preserve">Figure </w:t>
      </w:r>
      <w:r>
        <w:rPr>
          <w:rFonts w:cs="Arial"/>
          <w:b/>
          <w:bCs/>
          <w:i/>
          <w:sz w:val="20"/>
          <w:lang w:val="en-GB"/>
        </w:rPr>
        <w:t>1</w:t>
      </w:r>
      <w:r w:rsidRPr="008D2F00">
        <w:rPr>
          <w:rFonts w:cs="Arial"/>
          <w:b/>
          <w:bCs/>
          <w:i/>
          <w:sz w:val="20"/>
          <w:lang w:val="en-GB"/>
        </w:rPr>
        <w:t>: Adverse event reporting flow-chart</w:t>
      </w:r>
    </w:p>
    <w:p w14:paraId="0ACD5930" w14:textId="77777777" w:rsidR="00B107CF" w:rsidRPr="00B12C43" w:rsidRDefault="00B107CF" w:rsidP="00B107CF">
      <w:pPr>
        <w:pStyle w:val="Normal1"/>
        <w:jc w:val="both"/>
        <w:rPr>
          <w:rFonts w:cs="Arial"/>
          <w:bCs/>
          <w:sz w:val="20"/>
          <w:lang w:val="en-GB"/>
        </w:rPr>
      </w:pPr>
      <w:r w:rsidRPr="00AE21BB">
        <w:rPr>
          <w:rFonts w:cs="Arial"/>
          <w:bCs/>
          <w:noProof/>
          <w:sz w:val="20"/>
          <w:lang w:val="en-GB"/>
        </w:rPr>
        <w:drawing>
          <wp:inline distT="0" distB="0" distL="0" distR="0" wp14:anchorId="5204E96C" wp14:editId="217BBC16">
            <wp:extent cx="6116320" cy="6314440"/>
            <wp:effectExtent l="0" t="0" r="5080" b="0"/>
            <wp:docPr id="1" name="Picture 1" descr="A diagram of a medical proced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medical procedure&#10;&#10;Description automatically generated"/>
                    <pic:cNvPicPr/>
                  </pic:nvPicPr>
                  <pic:blipFill>
                    <a:blip r:embed="rId5"/>
                    <a:stretch>
                      <a:fillRect/>
                    </a:stretch>
                  </pic:blipFill>
                  <pic:spPr>
                    <a:xfrm>
                      <a:off x="0" y="0"/>
                      <a:ext cx="6116320" cy="6314440"/>
                    </a:xfrm>
                    <a:prstGeom prst="rect">
                      <a:avLst/>
                    </a:prstGeom>
                  </pic:spPr>
                </pic:pic>
              </a:graphicData>
            </a:graphic>
          </wp:inline>
        </w:drawing>
      </w:r>
    </w:p>
    <w:p w14:paraId="02E33AF7" w14:textId="77777777" w:rsidR="00B107CF" w:rsidRDefault="00B107CF" w:rsidP="00B107CF">
      <w:pPr>
        <w:rPr>
          <w:rFonts w:eastAsia="Times New Roman" w:cs="Arial"/>
          <w:b/>
          <w:bCs/>
          <w:szCs w:val="20"/>
        </w:rPr>
      </w:pPr>
      <w:r>
        <w:rPr>
          <w:rFonts w:cs="Arial"/>
          <w:b/>
          <w:bCs/>
        </w:rPr>
        <w:br w:type="page"/>
      </w:r>
    </w:p>
    <w:p w14:paraId="6259D5DE" w14:textId="77777777" w:rsidR="00B107CF" w:rsidRPr="00B12C43" w:rsidRDefault="00B107CF" w:rsidP="00B107CF">
      <w:pPr>
        <w:pStyle w:val="Normal1"/>
        <w:jc w:val="both"/>
        <w:rPr>
          <w:rFonts w:cs="Arial"/>
          <w:b/>
          <w:bCs/>
          <w:sz w:val="20"/>
          <w:lang w:val="en-GB"/>
        </w:rPr>
      </w:pPr>
      <w:r w:rsidRPr="00B12C43">
        <w:rPr>
          <w:rFonts w:cs="Arial"/>
          <w:b/>
          <w:bCs/>
          <w:sz w:val="20"/>
          <w:lang w:val="en-GB"/>
        </w:rPr>
        <w:lastRenderedPageBreak/>
        <w:t>Non-serious Adverse Reactions (ARs)/Adverse Events (AEs)</w:t>
      </w:r>
    </w:p>
    <w:p w14:paraId="2B6E9213" w14:textId="77777777" w:rsidR="00B107CF" w:rsidRDefault="00B107CF" w:rsidP="00B107CF">
      <w:pPr>
        <w:pStyle w:val="Normal1"/>
        <w:jc w:val="both"/>
        <w:rPr>
          <w:rFonts w:cs="Arial"/>
          <w:bCs/>
          <w:sz w:val="20"/>
          <w:lang w:val="en-GB"/>
        </w:rPr>
      </w:pPr>
      <w:r w:rsidRPr="00B12C43">
        <w:rPr>
          <w:rFonts w:cs="Arial"/>
          <w:bCs/>
          <w:sz w:val="20"/>
          <w:lang w:val="en-GB"/>
        </w:rPr>
        <w:t>All such events, whether expected</w:t>
      </w:r>
      <w:r w:rsidRPr="00F63EFF">
        <w:rPr>
          <w:rFonts w:cs="Arial"/>
          <w:bCs/>
          <w:sz w:val="20"/>
          <w:lang w:val="en-GB"/>
        </w:rPr>
        <w:t xml:space="preserve"> or not, should be recorded in the toxicity section of the relevant case report form and sent to</w:t>
      </w:r>
      <w:r>
        <w:rPr>
          <w:rFonts w:cs="Arial"/>
          <w:bCs/>
          <w:sz w:val="20"/>
          <w:lang w:val="en-GB"/>
        </w:rPr>
        <w:t xml:space="preserve"> the study coordination centre, regulatory </w:t>
      </w:r>
      <w:proofErr w:type="gramStart"/>
      <w:r>
        <w:rPr>
          <w:rFonts w:cs="Arial"/>
          <w:bCs/>
          <w:sz w:val="20"/>
          <w:lang w:val="en-GB"/>
        </w:rPr>
        <w:t>bodies</w:t>
      </w:r>
      <w:proofErr w:type="gramEnd"/>
      <w:r>
        <w:rPr>
          <w:rFonts w:cs="Arial"/>
          <w:bCs/>
          <w:sz w:val="20"/>
          <w:lang w:val="en-GB"/>
        </w:rPr>
        <w:t xml:space="preserve"> and the trial DSMB within 5 working days from the day of occurrence. </w:t>
      </w:r>
    </w:p>
    <w:p w14:paraId="4BE6A703" w14:textId="77777777" w:rsidR="00B107CF" w:rsidRPr="00F63EFF" w:rsidRDefault="00B107CF" w:rsidP="00B107CF">
      <w:pPr>
        <w:pStyle w:val="Normal1"/>
        <w:jc w:val="both"/>
        <w:rPr>
          <w:rFonts w:cs="Arial"/>
          <w:bCs/>
          <w:sz w:val="20"/>
          <w:lang w:val="en-GB"/>
        </w:rPr>
      </w:pPr>
    </w:p>
    <w:p w14:paraId="6AA1FC33" w14:textId="77777777" w:rsidR="00B107CF" w:rsidRPr="00F63EFF" w:rsidRDefault="00B107CF" w:rsidP="00B107CF">
      <w:pPr>
        <w:pStyle w:val="Normal1"/>
        <w:jc w:val="both"/>
        <w:rPr>
          <w:rFonts w:cs="Arial"/>
          <w:b/>
          <w:bCs/>
          <w:sz w:val="20"/>
          <w:lang w:val="en-GB"/>
        </w:rPr>
      </w:pPr>
      <w:r w:rsidRPr="00F63EFF">
        <w:rPr>
          <w:rFonts w:cs="Arial"/>
          <w:b/>
          <w:bCs/>
          <w:sz w:val="20"/>
          <w:lang w:val="en-GB"/>
        </w:rPr>
        <w:t>Serious Adverse Reactions (SARs)/Serious Adverse Events (SAEs)</w:t>
      </w:r>
    </w:p>
    <w:p w14:paraId="63550FC2" w14:textId="77777777" w:rsidR="00B107CF" w:rsidRPr="007C1C53" w:rsidRDefault="00B107CF" w:rsidP="00B107CF">
      <w:pPr>
        <w:pStyle w:val="Normal1"/>
        <w:jc w:val="both"/>
        <w:rPr>
          <w:rFonts w:cs="Arial"/>
          <w:sz w:val="16"/>
          <w:lang w:val="en-GB"/>
        </w:rPr>
      </w:pPr>
      <w:r w:rsidRPr="00F63EFF">
        <w:rPr>
          <w:rFonts w:cs="Arial"/>
          <w:sz w:val="20"/>
          <w:lang w:val="en-GB"/>
        </w:rPr>
        <w:t xml:space="preserve">Fatal or </w:t>
      </w:r>
      <w:proofErr w:type="gramStart"/>
      <w:r w:rsidRPr="00F63EFF">
        <w:rPr>
          <w:rFonts w:cs="Arial"/>
          <w:sz w:val="20"/>
          <w:lang w:val="en-GB"/>
        </w:rPr>
        <w:t>life threatening</w:t>
      </w:r>
      <w:proofErr w:type="gramEnd"/>
      <w:r w:rsidRPr="00F63EFF">
        <w:rPr>
          <w:rFonts w:cs="Arial"/>
          <w:sz w:val="20"/>
          <w:lang w:val="en-GB"/>
        </w:rPr>
        <w:t xml:space="preserve"> Serious Adverse Events (SAEs), Serious Adverse Reactions (SARs) and Suspected Unexpected Serious Adverse Reactions (SUSARs) should be reported </w:t>
      </w:r>
      <w:r>
        <w:rPr>
          <w:rFonts w:cs="Arial"/>
          <w:sz w:val="20"/>
          <w:lang w:val="en-GB"/>
        </w:rPr>
        <w:t xml:space="preserve">to the PI </w:t>
      </w:r>
      <w:r w:rsidRPr="00F63EFF">
        <w:rPr>
          <w:rFonts w:cs="Arial"/>
          <w:sz w:val="20"/>
          <w:lang w:val="en-GB"/>
        </w:rPr>
        <w:t xml:space="preserve">on the day that the local site is aware of the event.  The SAE form asks for nature of event, date of onset, severity, corrective therapies given, outcome and causality (i.e. unrelated, unlikely, possible, probably, definitely). </w:t>
      </w:r>
      <w:r>
        <w:rPr>
          <w:rFonts w:cs="Arial"/>
          <w:sz w:val="20"/>
          <w:lang w:val="en-GB"/>
        </w:rPr>
        <w:t xml:space="preserve">All SAEs or SARs whether expected, suspected or unexpected should be reported to regulatory bodies and the trial DSMB within 48 hours of occurrence. </w:t>
      </w:r>
      <w:r w:rsidRPr="00F63EFF">
        <w:rPr>
          <w:rFonts w:cs="Arial"/>
          <w:sz w:val="20"/>
          <w:lang w:val="en-GB"/>
        </w:rPr>
        <w:t xml:space="preserve"> The responsible investigator should sign the causality of the event. </w:t>
      </w:r>
      <w:r>
        <w:rPr>
          <w:rFonts w:cs="Arial"/>
          <w:sz w:val="20"/>
          <w:lang w:val="en-GB"/>
        </w:rPr>
        <w:t xml:space="preserve"> </w:t>
      </w:r>
      <w:r w:rsidRPr="00F63EFF">
        <w:rPr>
          <w:rFonts w:cs="Arial"/>
          <w:sz w:val="20"/>
          <w:lang w:val="en-GB"/>
        </w:rPr>
        <w:t xml:space="preserve">Additional information should be sent within 5 days if the reaction has not resolved at the time of reporting. </w:t>
      </w:r>
      <w:r w:rsidRPr="007C1C53">
        <w:rPr>
          <w:sz w:val="20"/>
        </w:rPr>
        <w:t>All investigators will be informed of all SARs occurring throughout the stud</w:t>
      </w:r>
      <w:r>
        <w:rPr>
          <w:sz w:val="20"/>
        </w:rPr>
        <w:t>y.</w:t>
      </w:r>
      <w:r w:rsidRPr="007C1C53">
        <w:rPr>
          <w:rFonts w:cs="Arial"/>
          <w:sz w:val="16"/>
          <w:lang w:val="en-GB"/>
        </w:rPr>
        <w:t xml:space="preserve"> </w:t>
      </w:r>
    </w:p>
    <w:p w14:paraId="514A8082" w14:textId="77777777" w:rsidR="00B107CF" w:rsidRPr="00F63EFF" w:rsidRDefault="00B107CF" w:rsidP="00B107CF">
      <w:pPr>
        <w:pStyle w:val="Normal1"/>
        <w:jc w:val="both"/>
        <w:rPr>
          <w:rFonts w:cs="Arial"/>
          <w:b/>
          <w:bCs/>
          <w:sz w:val="20"/>
          <w:lang w:val="en-GB"/>
        </w:rPr>
      </w:pPr>
    </w:p>
    <w:p w14:paraId="3230DECF" w14:textId="77777777" w:rsidR="00B107CF" w:rsidRPr="00F63EFF" w:rsidRDefault="00B107CF" w:rsidP="00B107CF">
      <w:pPr>
        <w:pStyle w:val="Normal1"/>
        <w:jc w:val="both"/>
        <w:rPr>
          <w:rFonts w:cs="Arial"/>
          <w:b/>
          <w:bCs/>
          <w:sz w:val="20"/>
          <w:lang w:val="en-GB"/>
        </w:rPr>
      </w:pPr>
      <w:r w:rsidRPr="00F63EFF">
        <w:rPr>
          <w:rFonts w:cs="Arial"/>
          <w:b/>
          <w:bCs/>
          <w:sz w:val="20"/>
          <w:lang w:val="en-GB"/>
        </w:rPr>
        <w:t>SAEs</w:t>
      </w:r>
    </w:p>
    <w:p w14:paraId="17E06E0A" w14:textId="77777777" w:rsidR="00B107CF" w:rsidRPr="00F63EFF" w:rsidRDefault="00B107CF" w:rsidP="00B107CF">
      <w:pPr>
        <w:pStyle w:val="Normal1"/>
        <w:jc w:val="both"/>
        <w:rPr>
          <w:rFonts w:cs="Arial"/>
          <w:sz w:val="20"/>
          <w:lang w:val="en-GB"/>
        </w:rPr>
      </w:pPr>
      <w:r>
        <w:rPr>
          <w:rFonts w:cs="Arial"/>
          <w:sz w:val="20"/>
          <w:lang w:val="en-GB"/>
        </w:rPr>
        <w:t>A</w:t>
      </w:r>
      <w:r w:rsidRPr="00F63EFF">
        <w:rPr>
          <w:rFonts w:cs="Arial"/>
          <w:sz w:val="20"/>
          <w:lang w:val="en-GB"/>
        </w:rPr>
        <w:t xml:space="preserve"> SAE form should be completed and faxed to the study coordination centre for all SAEs within 24 hours.  </w:t>
      </w:r>
      <w:r w:rsidRPr="004B71C2">
        <w:rPr>
          <w:rFonts w:cs="Arial"/>
          <w:sz w:val="20"/>
          <w:lang w:val="en-GB"/>
        </w:rPr>
        <w:t xml:space="preserve">However, relapse and death due to a known pre-existing condition </w:t>
      </w:r>
      <w:r>
        <w:rPr>
          <w:rFonts w:cs="Arial"/>
          <w:sz w:val="20"/>
          <w:lang w:val="en-GB"/>
        </w:rPr>
        <w:t>and</w:t>
      </w:r>
      <w:r w:rsidRPr="004B71C2">
        <w:rPr>
          <w:rFonts w:cs="Arial"/>
          <w:sz w:val="20"/>
          <w:lang w:val="en-GB"/>
        </w:rPr>
        <w:t xml:space="preserve"> hospitalisations for elective</w:t>
      </w:r>
      <w:r w:rsidRPr="00F63EFF">
        <w:rPr>
          <w:rFonts w:cs="Arial"/>
          <w:sz w:val="20"/>
          <w:lang w:val="en-GB"/>
        </w:rPr>
        <w:t xml:space="preserve"> treatment of a pre-existing condition do not need reporting as SAEs.</w:t>
      </w:r>
    </w:p>
    <w:p w14:paraId="17EA2A03" w14:textId="77777777" w:rsidR="00B107CF" w:rsidRPr="00F63EFF" w:rsidRDefault="00B107CF" w:rsidP="00B107CF">
      <w:pPr>
        <w:pStyle w:val="Normal1"/>
        <w:jc w:val="both"/>
        <w:rPr>
          <w:rFonts w:cs="Arial"/>
          <w:b/>
          <w:bCs/>
          <w:sz w:val="20"/>
          <w:lang w:val="en-GB"/>
        </w:rPr>
      </w:pPr>
    </w:p>
    <w:p w14:paraId="0D5A674C" w14:textId="77777777" w:rsidR="00B107CF" w:rsidRPr="00F63EFF" w:rsidRDefault="00B107CF" w:rsidP="00B107CF">
      <w:pPr>
        <w:pStyle w:val="Normal1"/>
        <w:jc w:val="both"/>
        <w:rPr>
          <w:rFonts w:cs="Arial"/>
          <w:b/>
          <w:bCs/>
          <w:sz w:val="20"/>
          <w:lang w:val="en-GB"/>
        </w:rPr>
      </w:pPr>
      <w:r w:rsidRPr="00F63EFF">
        <w:rPr>
          <w:rFonts w:cs="Arial"/>
          <w:b/>
          <w:bCs/>
          <w:sz w:val="20"/>
          <w:lang w:val="en-GB"/>
        </w:rPr>
        <w:t xml:space="preserve">SUSARs </w:t>
      </w:r>
    </w:p>
    <w:p w14:paraId="6039768B" w14:textId="77777777" w:rsidR="00B107CF" w:rsidRPr="00F63EFF" w:rsidRDefault="00B107CF" w:rsidP="00B107CF">
      <w:pPr>
        <w:rPr>
          <w:rFonts w:cs="Arial"/>
          <w:szCs w:val="20"/>
        </w:rPr>
      </w:pPr>
      <w:r w:rsidRPr="00F63EFF">
        <w:rPr>
          <w:rFonts w:cs="Arial"/>
          <w:szCs w:val="20"/>
        </w:rPr>
        <w:t xml:space="preserve">In the case of serious, </w:t>
      </w:r>
      <w:proofErr w:type="gramStart"/>
      <w:r w:rsidRPr="00F63EFF">
        <w:rPr>
          <w:rFonts w:cs="Arial"/>
          <w:szCs w:val="20"/>
        </w:rPr>
        <w:t>unexpected</w:t>
      </w:r>
      <w:proofErr w:type="gramEnd"/>
      <w:r w:rsidRPr="00F63EFF">
        <w:rPr>
          <w:rFonts w:cs="Arial"/>
          <w:szCs w:val="20"/>
        </w:rPr>
        <w:t xml:space="preserve"> and related adverse events, the staff at the site should: </w:t>
      </w:r>
    </w:p>
    <w:p w14:paraId="1785AB95" w14:textId="77777777" w:rsidR="00B107CF" w:rsidRPr="00F63EFF" w:rsidRDefault="00B107CF" w:rsidP="00B107CF">
      <w:pPr>
        <w:rPr>
          <w:rFonts w:cs="Arial"/>
          <w:szCs w:val="20"/>
        </w:rPr>
      </w:pPr>
    </w:p>
    <w:p w14:paraId="7E143AFB" w14:textId="77777777" w:rsidR="00B107CF" w:rsidRPr="00F63EFF" w:rsidRDefault="00B107CF" w:rsidP="00B107CF">
      <w:pPr>
        <w:ind w:left="1440" w:hanging="720"/>
        <w:rPr>
          <w:rFonts w:cs="Arial"/>
          <w:szCs w:val="20"/>
        </w:rPr>
      </w:pPr>
      <w:r w:rsidRPr="00F63EFF">
        <w:rPr>
          <w:rFonts w:cs="Arial"/>
          <w:szCs w:val="20"/>
        </w:rPr>
        <w:tab/>
        <w:t>Complete the SAE case report form &amp; send it immediately (within 24 hours, preferably by fax), signed and dated to the study coordination centre together with relevant treatment forms and anonymised copies of all relevant investigations.</w:t>
      </w:r>
    </w:p>
    <w:p w14:paraId="6927B6CD" w14:textId="77777777" w:rsidR="00B107CF" w:rsidRPr="00F63EFF" w:rsidRDefault="00B107CF" w:rsidP="00B107CF">
      <w:pPr>
        <w:ind w:left="720"/>
        <w:rPr>
          <w:rFonts w:cs="Arial"/>
          <w:b/>
          <w:szCs w:val="20"/>
        </w:rPr>
      </w:pPr>
      <w:r w:rsidRPr="00F63EFF">
        <w:rPr>
          <w:rFonts w:cs="Arial"/>
          <w:b/>
          <w:bCs/>
          <w:szCs w:val="20"/>
        </w:rPr>
        <w:t>Or</w:t>
      </w:r>
    </w:p>
    <w:p w14:paraId="339CCDD6" w14:textId="77777777" w:rsidR="00B107CF" w:rsidRPr="00F63EFF" w:rsidRDefault="00B107CF" w:rsidP="00B107CF">
      <w:pPr>
        <w:ind w:left="1440" w:hanging="720"/>
        <w:rPr>
          <w:rFonts w:cs="Arial"/>
          <w:szCs w:val="20"/>
        </w:rPr>
      </w:pPr>
      <w:r w:rsidRPr="00F63EFF">
        <w:rPr>
          <w:rFonts w:cs="Arial"/>
          <w:szCs w:val="20"/>
        </w:rPr>
        <w:tab/>
        <w:t>Contact the study coordination centre by phone and then send the completed SAE form to the study coordination centre within the following 24 hours as above.</w:t>
      </w:r>
    </w:p>
    <w:p w14:paraId="5E15049B" w14:textId="0F742CFE" w:rsidR="00B107CF" w:rsidRDefault="00B107CF" w:rsidP="00B107CF">
      <w:r w:rsidRPr="004F21FE">
        <w:t>The study coordination centre will notify all SUSARs occurring during the study</w:t>
      </w:r>
      <w:r>
        <w:t xml:space="preserve"> within 48 hours to</w:t>
      </w:r>
      <w:r w:rsidRPr="004F21FE">
        <w:t xml:space="preserve"> the</w:t>
      </w:r>
      <w:r w:rsidRPr="009939D2">
        <w:rPr>
          <w:rFonts w:cs="Arial"/>
          <w:lang w:val="en-US"/>
        </w:rPr>
        <w:t xml:space="preserve"> Tanzania Food and Drug Administration</w:t>
      </w:r>
      <w:r>
        <w:rPr>
          <w:rFonts w:cs="Arial"/>
          <w:lang w:val="en-US"/>
        </w:rPr>
        <w:t xml:space="preserve"> and the </w:t>
      </w:r>
      <w:r w:rsidRPr="00ED563D">
        <w:rPr>
          <w:rFonts w:cs="Arial"/>
          <w:lang w:val="en-US"/>
        </w:rPr>
        <w:t>Ugandan National Drug Authority</w:t>
      </w:r>
      <w:r>
        <w:rPr>
          <w:rFonts w:cs="Arial"/>
          <w:lang w:val="en-US"/>
        </w:rPr>
        <w:t xml:space="preserve"> </w:t>
      </w:r>
      <w:r>
        <w:t xml:space="preserve">and the trial DSMB. </w:t>
      </w:r>
      <w:r w:rsidRPr="004F21FE">
        <w:t xml:space="preserve">SUSARs </w:t>
      </w:r>
      <w:r>
        <w:t xml:space="preserve">will be reported to </w:t>
      </w:r>
      <w:r w:rsidRPr="004F21FE">
        <w:t>LSHTM Ethics Committee</w:t>
      </w:r>
      <w:r>
        <w:t xml:space="preserve"> </w:t>
      </w:r>
      <w:r w:rsidRPr="004F21FE">
        <w:t xml:space="preserve">according to the following </w:t>
      </w:r>
      <w:proofErr w:type="gramStart"/>
      <w:r w:rsidRPr="004F21FE">
        <w:t>timelines;</w:t>
      </w:r>
      <w:proofErr w:type="gramEnd"/>
      <w:r w:rsidRPr="004F21FE">
        <w:t xml:space="preserve"> fatal and life-threatening within 7 days of notification and non-life threatening within 15 days. All investigators will be informed of all SUSARs occurring throughout the study.</w:t>
      </w:r>
    </w:p>
    <w:p w14:paraId="3EC38B7E" w14:textId="77777777" w:rsidR="00B107CF" w:rsidRPr="00ED563D" w:rsidRDefault="00B107CF" w:rsidP="00B107CF">
      <w:pPr>
        <w:rPr>
          <w:rFonts w:cs="Arial"/>
          <w:lang w:val="en-US"/>
        </w:rPr>
      </w:pPr>
    </w:p>
    <w:p w14:paraId="77CD67F0" w14:textId="77777777" w:rsidR="00B107CF" w:rsidRDefault="00B107CF" w:rsidP="00B107CF">
      <w:pPr>
        <w:widowControl w:val="0"/>
        <w:autoSpaceDE w:val="0"/>
        <w:autoSpaceDN w:val="0"/>
        <w:adjustRightInd w:val="0"/>
        <w:rPr>
          <w:rFonts w:cs="Arial"/>
          <w:b/>
          <w:bCs/>
          <w:color w:val="000000"/>
          <w:szCs w:val="20"/>
        </w:rPr>
      </w:pPr>
      <w:r>
        <w:rPr>
          <w:rFonts w:cs="Arial"/>
          <w:b/>
          <w:bCs/>
          <w:color w:val="000000"/>
          <w:szCs w:val="20"/>
        </w:rPr>
        <w:t>Adverse Event Reporting for this Trial</w:t>
      </w:r>
    </w:p>
    <w:p w14:paraId="1E194FCF" w14:textId="77777777" w:rsidR="00B107CF" w:rsidRPr="000F5544" w:rsidRDefault="00B107CF" w:rsidP="00B107CF">
      <w:pPr>
        <w:widowControl w:val="0"/>
        <w:autoSpaceDE w:val="0"/>
        <w:autoSpaceDN w:val="0"/>
        <w:adjustRightInd w:val="0"/>
        <w:rPr>
          <w:rFonts w:eastAsia="MS Mincho" w:cs="Arial"/>
          <w:b/>
          <w:bCs/>
          <w:color w:val="000000"/>
          <w:szCs w:val="20"/>
        </w:rPr>
      </w:pPr>
      <w:r w:rsidRPr="000F5544">
        <w:rPr>
          <w:rFonts w:cs="Arial"/>
          <w:b/>
          <w:bCs/>
          <w:color w:val="000000"/>
          <w:szCs w:val="20"/>
        </w:rPr>
        <w:t xml:space="preserve">Non-serious Ocular: narrative form not </w:t>
      </w:r>
      <w:proofErr w:type="gramStart"/>
      <w:r w:rsidRPr="000F5544">
        <w:rPr>
          <w:rFonts w:cs="Arial"/>
          <w:b/>
          <w:bCs/>
          <w:color w:val="000000"/>
          <w:szCs w:val="20"/>
        </w:rPr>
        <w:t>required</w:t>
      </w:r>
      <w:proofErr w:type="gramEnd"/>
      <w:r w:rsidRPr="000F5544">
        <w:rPr>
          <w:rFonts w:ascii="MS Mincho" w:eastAsia="MS Mincho" w:hAnsi="MS Mincho" w:cs="MS Mincho"/>
          <w:b/>
          <w:bCs/>
          <w:color w:val="000000"/>
          <w:szCs w:val="20"/>
        </w:rPr>
        <w:t> </w:t>
      </w:r>
    </w:p>
    <w:p w14:paraId="4C178826" w14:textId="77777777" w:rsidR="00B107CF" w:rsidRPr="000F5544" w:rsidRDefault="00B107CF" w:rsidP="00B107CF">
      <w:pPr>
        <w:pStyle w:val="ListParagraph"/>
        <w:widowControl w:val="0"/>
        <w:numPr>
          <w:ilvl w:val="0"/>
          <w:numId w:val="2"/>
        </w:numPr>
        <w:autoSpaceDE w:val="0"/>
        <w:autoSpaceDN w:val="0"/>
        <w:adjustRightInd w:val="0"/>
        <w:jc w:val="left"/>
        <w:rPr>
          <w:rFonts w:eastAsia="MS Mincho" w:cs="Arial"/>
          <w:color w:val="000000"/>
          <w:szCs w:val="20"/>
        </w:rPr>
      </w:pPr>
      <w:r w:rsidRPr="000F5544">
        <w:rPr>
          <w:rFonts w:cs="Arial"/>
          <w:color w:val="000000"/>
          <w:szCs w:val="20"/>
        </w:rPr>
        <w:t>Local allergic reaction (conjunctiva, lid)</w:t>
      </w:r>
      <w:r w:rsidRPr="000F5544">
        <w:rPr>
          <w:rFonts w:ascii="MS Mincho" w:eastAsia="MS Mincho" w:hAnsi="MS Mincho" w:cs="MS Mincho"/>
          <w:color w:val="000000"/>
          <w:szCs w:val="20"/>
        </w:rPr>
        <w:t> </w:t>
      </w:r>
    </w:p>
    <w:p w14:paraId="3DCEEC60" w14:textId="77777777" w:rsidR="00B107CF" w:rsidRPr="000F5544" w:rsidRDefault="00B107CF" w:rsidP="00B107CF">
      <w:pPr>
        <w:pStyle w:val="ListParagraph"/>
        <w:widowControl w:val="0"/>
        <w:numPr>
          <w:ilvl w:val="0"/>
          <w:numId w:val="2"/>
        </w:numPr>
        <w:autoSpaceDE w:val="0"/>
        <w:autoSpaceDN w:val="0"/>
        <w:adjustRightInd w:val="0"/>
        <w:jc w:val="left"/>
        <w:rPr>
          <w:rFonts w:eastAsia="MS Mincho" w:cs="Arial"/>
          <w:b/>
          <w:bCs/>
          <w:color w:val="000000"/>
          <w:szCs w:val="20"/>
        </w:rPr>
      </w:pPr>
      <w:r w:rsidRPr="000F5544">
        <w:rPr>
          <w:rFonts w:cs="Arial"/>
          <w:color w:val="000000"/>
          <w:szCs w:val="20"/>
        </w:rPr>
        <w:t xml:space="preserve">Intraocular pressure ≥35 mmHg for 1 week despite therapy </w:t>
      </w:r>
    </w:p>
    <w:p w14:paraId="464EFF28" w14:textId="77777777" w:rsidR="00B107CF" w:rsidRPr="000F5544" w:rsidRDefault="00B107CF" w:rsidP="00B107CF">
      <w:pPr>
        <w:pStyle w:val="ListParagraph"/>
        <w:widowControl w:val="0"/>
        <w:numPr>
          <w:ilvl w:val="0"/>
          <w:numId w:val="2"/>
        </w:numPr>
        <w:autoSpaceDE w:val="0"/>
        <w:autoSpaceDN w:val="0"/>
        <w:adjustRightInd w:val="0"/>
        <w:jc w:val="left"/>
        <w:rPr>
          <w:rFonts w:eastAsia="MS Mincho" w:cs="Arial"/>
          <w:color w:val="000000"/>
          <w:szCs w:val="20"/>
        </w:rPr>
      </w:pPr>
      <w:r w:rsidRPr="000F5544">
        <w:rPr>
          <w:rFonts w:cs="Arial"/>
          <w:color w:val="000000"/>
          <w:szCs w:val="20"/>
        </w:rPr>
        <w:t>Progressive corneal thinning, ≤50% of enrolment thickness</w:t>
      </w:r>
      <w:r w:rsidRPr="000F5544">
        <w:rPr>
          <w:rFonts w:ascii="MS Mincho" w:eastAsia="MS Mincho" w:hAnsi="MS Mincho" w:cs="MS Mincho"/>
          <w:color w:val="000000"/>
          <w:szCs w:val="20"/>
        </w:rPr>
        <w:t> </w:t>
      </w:r>
    </w:p>
    <w:p w14:paraId="5F9F8B07" w14:textId="77777777" w:rsidR="00B107CF" w:rsidRPr="000F5544" w:rsidRDefault="00B107CF" w:rsidP="00B107CF">
      <w:pPr>
        <w:pStyle w:val="ListParagraph"/>
        <w:widowControl w:val="0"/>
        <w:numPr>
          <w:ilvl w:val="0"/>
          <w:numId w:val="2"/>
        </w:numPr>
        <w:autoSpaceDE w:val="0"/>
        <w:autoSpaceDN w:val="0"/>
        <w:adjustRightInd w:val="0"/>
        <w:jc w:val="left"/>
        <w:rPr>
          <w:rFonts w:cs="Arial"/>
          <w:color w:val="000000"/>
          <w:szCs w:val="20"/>
        </w:rPr>
      </w:pPr>
      <w:r w:rsidRPr="000F5544">
        <w:rPr>
          <w:rFonts w:cs="Arial"/>
          <w:color w:val="000000"/>
          <w:szCs w:val="20"/>
        </w:rPr>
        <w:t xml:space="preserve">Other (specify) </w:t>
      </w:r>
    </w:p>
    <w:p w14:paraId="06A58229" w14:textId="77777777" w:rsidR="00B107CF" w:rsidRPr="000F5544" w:rsidRDefault="00B107CF" w:rsidP="00B107CF">
      <w:pPr>
        <w:widowControl w:val="0"/>
        <w:autoSpaceDE w:val="0"/>
        <w:autoSpaceDN w:val="0"/>
        <w:adjustRightInd w:val="0"/>
        <w:rPr>
          <w:rFonts w:eastAsia="MS Mincho" w:cs="Arial"/>
          <w:b/>
          <w:bCs/>
          <w:color w:val="000000"/>
          <w:szCs w:val="20"/>
        </w:rPr>
      </w:pPr>
      <w:r w:rsidRPr="000F5544">
        <w:rPr>
          <w:rFonts w:cs="Arial"/>
          <w:b/>
          <w:bCs/>
          <w:color w:val="000000"/>
          <w:szCs w:val="20"/>
        </w:rPr>
        <w:t xml:space="preserve">Serious Ocular: (1) report within 24hrs (2) Serious Adverse Event </w:t>
      </w:r>
      <w:r>
        <w:rPr>
          <w:rFonts w:cs="Arial"/>
          <w:b/>
          <w:bCs/>
          <w:color w:val="000000"/>
          <w:szCs w:val="20"/>
        </w:rPr>
        <w:t xml:space="preserve">(SAE) </w:t>
      </w:r>
      <w:r w:rsidRPr="000F5544">
        <w:rPr>
          <w:rFonts w:cs="Arial"/>
          <w:b/>
          <w:bCs/>
          <w:color w:val="000000"/>
          <w:szCs w:val="20"/>
        </w:rPr>
        <w:t xml:space="preserve">Form </w:t>
      </w:r>
      <w:proofErr w:type="gramStart"/>
      <w:r w:rsidRPr="000F5544">
        <w:rPr>
          <w:rFonts w:cs="Arial"/>
          <w:b/>
          <w:bCs/>
          <w:color w:val="000000"/>
          <w:szCs w:val="20"/>
        </w:rPr>
        <w:t>required</w:t>
      </w:r>
      <w:proofErr w:type="gramEnd"/>
      <w:r w:rsidRPr="000F5544">
        <w:rPr>
          <w:rFonts w:ascii="MS Mincho" w:eastAsia="MS Mincho" w:hAnsi="MS Mincho" w:cs="MS Mincho"/>
          <w:b/>
          <w:bCs/>
          <w:color w:val="000000"/>
          <w:szCs w:val="20"/>
        </w:rPr>
        <w:t> </w:t>
      </w:r>
    </w:p>
    <w:p w14:paraId="167F009D" w14:textId="77777777" w:rsidR="00B107CF" w:rsidRPr="000F5544" w:rsidRDefault="00B107CF" w:rsidP="00B107CF">
      <w:pPr>
        <w:pStyle w:val="ListParagraph"/>
        <w:widowControl w:val="0"/>
        <w:numPr>
          <w:ilvl w:val="0"/>
          <w:numId w:val="3"/>
        </w:numPr>
        <w:autoSpaceDE w:val="0"/>
        <w:autoSpaceDN w:val="0"/>
        <w:adjustRightInd w:val="0"/>
        <w:jc w:val="left"/>
        <w:rPr>
          <w:rFonts w:cs="Arial"/>
          <w:b/>
          <w:bCs/>
          <w:color w:val="000000"/>
          <w:szCs w:val="20"/>
        </w:rPr>
      </w:pPr>
      <w:r w:rsidRPr="000F5544">
        <w:rPr>
          <w:rFonts w:cs="Arial"/>
          <w:color w:val="000000"/>
          <w:szCs w:val="20"/>
        </w:rPr>
        <w:t xml:space="preserve">Endophthalmitis </w:t>
      </w:r>
    </w:p>
    <w:p w14:paraId="214756D6" w14:textId="77777777" w:rsidR="00B107CF" w:rsidRDefault="00B107CF" w:rsidP="00B107CF">
      <w:pPr>
        <w:pStyle w:val="ListParagraph"/>
        <w:widowControl w:val="0"/>
        <w:numPr>
          <w:ilvl w:val="0"/>
          <w:numId w:val="3"/>
        </w:numPr>
        <w:autoSpaceDE w:val="0"/>
        <w:autoSpaceDN w:val="0"/>
        <w:adjustRightInd w:val="0"/>
        <w:jc w:val="left"/>
        <w:rPr>
          <w:rFonts w:cs="Arial"/>
          <w:color w:val="000000"/>
          <w:szCs w:val="20"/>
        </w:rPr>
      </w:pPr>
      <w:r w:rsidRPr="0071148A">
        <w:rPr>
          <w:rFonts w:cs="Arial"/>
          <w:color w:val="000000"/>
          <w:szCs w:val="20"/>
        </w:rPr>
        <w:t>Other serious ocular event thought to be related to the study drug, requiring non-elective hospitalization, loss of function, or systemic treatment</w:t>
      </w:r>
      <w:r>
        <w:rPr>
          <w:rFonts w:cs="Arial"/>
          <w:color w:val="000000"/>
          <w:szCs w:val="20"/>
        </w:rPr>
        <w:t xml:space="preserve"> (s</w:t>
      </w:r>
      <w:r w:rsidRPr="0071148A">
        <w:rPr>
          <w:rFonts w:cs="Arial"/>
          <w:color w:val="000000"/>
          <w:szCs w:val="20"/>
        </w:rPr>
        <w:t xml:space="preserve">pecify) </w:t>
      </w:r>
    </w:p>
    <w:p w14:paraId="48DB1460" w14:textId="77777777" w:rsidR="00B107CF" w:rsidRPr="0071148A" w:rsidRDefault="00B107CF" w:rsidP="00B107CF">
      <w:pPr>
        <w:widowControl w:val="0"/>
        <w:autoSpaceDE w:val="0"/>
        <w:autoSpaceDN w:val="0"/>
        <w:adjustRightInd w:val="0"/>
        <w:rPr>
          <w:rFonts w:cs="Arial"/>
          <w:color w:val="000000"/>
          <w:szCs w:val="20"/>
        </w:rPr>
      </w:pPr>
      <w:r w:rsidRPr="0071148A">
        <w:rPr>
          <w:rFonts w:cs="Arial"/>
          <w:b/>
          <w:bCs/>
          <w:color w:val="000000"/>
          <w:szCs w:val="20"/>
        </w:rPr>
        <w:t xml:space="preserve">Serious </w:t>
      </w:r>
      <w:proofErr w:type="gramStart"/>
      <w:r w:rsidRPr="0071148A">
        <w:rPr>
          <w:rFonts w:cs="Arial"/>
          <w:b/>
          <w:bCs/>
          <w:color w:val="000000"/>
          <w:szCs w:val="20"/>
        </w:rPr>
        <w:t>Non-ocular</w:t>
      </w:r>
      <w:proofErr w:type="gramEnd"/>
      <w:r w:rsidRPr="0071148A">
        <w:rPr>
          <w:rFonts w:cs="Arial"/>
          <w:b/>
          <w:bCs/>
          <w:color w:val="000000"/>
          <w:szCs w:val="20"/>
        </w:rPr>
        <w:t xml:space="preserve">: (1) report within 24hrs (2) Serious Adverse Event (SAE) Form required </w:t>
      </w:r>
    </w:p>
    <w:p w14:paraId="17A98F67" w14:textId="77777777" w:rsidR="00B107CF" w:rsidRPr="000F5544" w:rsidRDefault="00B107CF" w:rsidP="00B107CF">
      <w:pPr>
        <w:pStyle w:val="ListParagraph"/>
        <w:widowControl w:val="0"/>
        <w:numPr>
          <w:ilvl w:val="0"/>
          <w:numId w:val="4"/>
        </w:numPr>
        <w:autoSpaceDE w:val="0"/>
        <w:autoSpaceDN w:val="0"/>
        <w:adjustRightInd w:val="0"/>
        <w:ind w:left="714" w:hanging="357"/>
        <w:jc w:val="left"/>
        <w:rPr>
          <w:rFonts w:eastAsia="MS Mincho" w:cs="Arial"/>
          <w:color w:val="000000"/>
          <w:szCs w:val="20"/>
        </w:rPr>
      </w:pPr>
      <w:r w:rsidRPr="000F5544">
        <w:rPr>
          <w:rFonts w:cs="Arial"/>
          <w:color w:val="000000"/>
          <w:szCs w:val="20"/>
        </w:rPr>
        <w:t>Death</w:t>
      </w:r>
      <w:r w:rsidRPr="000F5544">
        <w:rPr>
          <w:rFonts w:ascii="MS Mincho" w:eastAsia="MS Mincho" w:hAnsi="MS Mincho" w:cs="MS Mincho"/>
          <w:color w:val="000000"/>
          <w:szCs w:val="20"/>
        </w:rPr>
        <w:t> </w:t>
      </w:r>
    </w:p>
    <w:p w14:paraId="5EEF24CE" w14:textId="77777777" w:rsidR="00B107CF" w:rsidRPr="000F5544" w:rsidRDefault="00B107CF" w:rsidP="00B107CF">
      <w:pPr>
        <w:pStyle w:val="ListParagraph"/>
        <w:widowControl w:val="0"/>
        <w:numPr>
          <w:ilvl w:val="0"/>
          <w:numId w:val="4"/>
        </w:numPr>
        <w:autoSpaceDE w:val="0"/>
        <w:autoSpaceDN w:val="0"/>
        <w:adjustRightInd w:val="0"/>
        <w:ind w:left="714" w:hanging="357"/>
        <w:jc w:val="left"/>
        <w:rPr>
          <w:rFonts w:cs="Arial"/>
          <w:color w:val="000000"/>
          <w:szCs w:val="20"/>
        </w:rPr>
      </w:pPr>
      <w:r w:rsidRPr="000F5544">
        <w:rPr>
          <w:rFonts w:cs="Arial"/>
          <w:color w:val="000000"/>
          <w:szCs w:val="20"/>
        </w:rPr>
        <w:t xml:space="preserve">Non-elective surgery, hospitalization, or loss of function </w:t>
      </w:r>
    </w:p>
    <w:p w14:paraId="1763CA21" w14:textId="77777777" w:rsidR="00B107CF" w:rsidRPr="00D9666F" w:rsidRDefault="00B107CF" w:rsidP="00B107CF">
      <w:pPr>
        <w:pStyle w:val="ListParagraph"/>
        <w:widowControl w:val="0"/>
        <w:numPr>
          <w:ilvl w:val="0"/>
          <w:numId w:val="4"/>
        </w:numPr>
        <w:autoSpaceDE w:val="0"/>
        <w:autoSpaceDN w:val="0"/>
        <w:adjustRightInd w:val="0"/>
        <w:ind w:left="714" w:hanging="357"/>
        <w:jc w:val="left"/>
        <w:rPr>
          <w:rFonts w:cs="Arial"/>
          <w:szCs w:val="20"/>
        </w:rPr>
      </w:pPr>
      <w:r w:rsidRPr="0071148A">
        <w:rPr>
          <w:rFonts w:cs="Arial"/>
          <w:color w:val="000000"/>
          <w:szCs w:val="20"/>
        </w:rPr>
        <w:t>Myocardial infarction or stroke</w:t>
      </w:r>
    </w:p>
    <w:p w14:paraId="099BC069" w14:textId="05D4DEDD" w:rsidR="00D31778" w:rsidRPr="00B107CF" w:rsidRDefault="00B107CF" w:rsidP="00B107CF">
      <w:pPr>
        <w:pStyle w:val="ListParagraph"/>
        <w:widowControl w:val="0"/>
        <w:numPr>
          <w:ilvl w:val="0"/>
          <w:numId w:val="4"/>
        </w:numPr>
        <w:autoSpaceDE w:val="0"/>
        <w:autoSpaceDN w:val="0"/>
        <w:adjustRightInd w:val="0"/>
        <w:ind w:left="714" w:hanging="357"/>
        <w:jc w:val="left"/>
        <w:rPr>
          <w:rFonts w:cs="Arial"/>
          <w:szCs w:val="20"/>
        </w:rPr>
      </w:pPr>
      <w:r w:rsidRPr="00F20CF0">
        <w:rPr>
          <w:rFonts w:cs="Arial"/>
          <w:color w:val="000000"/>
          <w:szCs w:val="20"/>
        </w:rPr>
        <w:t>Systemic allergic reaction</w:t>
      </w:r>
    </w:p>
    <w:sectPr w:rsidR="00D31778" w:rsidRPr="00B107CF" w:rsidSect="008D525F">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angal">
    <w:panose1 w:val="02040503050203030202"/>
    <w:charset w:val="01"/>
    <w:family w:val="roman"/>
    <w:pitch w:val="variable"/>
    <w:sig w:usb0="0000A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6937C6"/>
    <w:multiLevelType w:val="hybridMultilevel"/>
    <w:tmpl w:val="D7D835F6"/>
    <w:lvl w:ilvl="0" w:tplc="DF06A564">
      <w:start w:val="1"/>
      <w:numFmt w:val="bullet"/>
      <w:lvlText w:val=""/>
      <w:lvlJc w:val="left"/>
      <w:pPr>
        <w:tabs>
          <w:tab w:val="num" w:pos="360"/>
        </w:tabs>
        <w:ind w:left="360" w:hanging="360"/>
      </w:pPr>
      <w:rPr>
        <w:rFonts w:ascii="Symbol" w:hAnsi="Symbol" w:hint="default"/>
        <w:color w:val="auto"/>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430B3FC1"/>
    <w:multiLevelType w:val="hybridMultilevel"/>
    <w:tmpl w:val="0052A6B0"/>
    <w:lvl w:ilvl="0" w:tplc="8FECFE7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9435259"/>
    <w:multiLevelType w:val="multilevel"/>
    <w:tmpl w:val="F69E9FF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718" w:hanging="576"/>
      </w:pPr>
      <w:rPr>
        <w:rFonts w:hint="default"/>
        <w:sz w:val="24"/>
      </w:rPr>
    </w:lvl>
    <w:lvl w:ilvl="2">
      <w:start w:val="1"/>
      <w:numFmt w:val="decimal"/>
      <w:lvlText w:val="%1.%2.%3"/>
      <w:lvlJc w:val="left"/>
      <w:pPr>
        <w:ind w:left="720" w:hanging="720"/>
      </w:pPr>
      <w:rPr>
        <w:rFonts w:hint="default"/>
        <w:color w:val="5B9BD5" w:themeColor="accent5"/>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 w15:restartNumberingAfterBreak="0">
    <w:nsid w:val="4D00353A"/>
    <w:multiLevelType w:val="hybridMultilevel"/>
    <w:tmpl w:val="58EE3E2A"/>
    <w:lvl w:ilvl="0" w:tplc="8FECFE7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A9256F0"/>
    <w:multiLevelType w:val="hybridMultilevel"/>
    <w:tmpl w:val="0BD66A7E"/>
    <w:lvl w:ilvl="0" w:tplc="8FECFE7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77639743">
    <w:abstractNumId w:val="0"/>
  </w:num>
  <w:num w:numId="2" w16cid:durableId="483739648">
    <w:abstractNumId w:val="3"/>
  </w:num>
  <w:num w:numId="3" w16cid:durableId="1698852428">
    <w:abstractNumId w:val="4"/>
  </w:num>
  <w:num w:numId="4" w16cid:durableId="1447847789">
    <w:abstractNumId w:val="1"/>
  </w:num>
  <w:num w:numId="5" w16cid:durableId="180507536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1778"/>
    <w:rsid w:val="0004159C"/>
    <w:rsid w:val="008D525F"/>
    <w:rsid w:val="0093793E"/>
    <w:rsid w:val="009D6AC6"/>
    <w:rsid w:val="00B107CF"/>
    <w:rsid w:val="00D31778"/>
    <w:rsid w:val="00D47632"/>
    <w:rsid w:val="00DE2015"/>
    <w:rsid w:val="00F76FC1"/>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decimalSymbol w:val="."/>
  <w:listSeparator w:val=","/>
  <w14:docId w14:val="537F4802"/>
  <w15:chartTrackingRefBased/>
  <w15:docId w15:val="{4BF7C217-8E33-504A-894E-7EDE6C4007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107CF"/>
    <w:pPr>
      <w:keepNext/>
      <w:keepLines/>
      <w:numPr>
        <w:numId w:val="5"/>
      </w:numPr>
      <w:spacing w:before="480"/>
      <w:jc w:val="both"/>
      <w:outlineLvl w:val="0"/>
    </w:pPr>
    <w:rPr>
      <w:rFonts w:ascii="Arial" w:eastAsiaTheme="majorEastAsia" w:hAnsi="Arial" w:cstheme="majorBidi"/>
      <w:b/>
      <w:bCs/>
      <w:color w:val="000000" w:themeColor="text1"/>
      <w:sz w:val="28"/>
      <w:szCs w:val="28"/>
    </w:rPr>
  </w:style>
  <w:style w:type="paragraph" w:styleId="Heading2">
    <w:name w:val="heading 2"/>
    <w:basedOn w:val="Normal"/>
    <w:next w:val="Normal"/>
    <w:link w:val="Heading2Char"/>
    <w:autoRedefine/>
    <w:uiPriority w:val="9"/>
    <w:unhideWhenUsed/>
    <w:qFormat/>
    <w:rsid w:val="00B107CF"/>
    <w:pPr>
      <w:keepNext/>
      <w:keepLines/>
      <w:numPr>
        <w:ilvl w:val="1"/>
        <w:numId w:val="5"/>
      </w:numPr>
      <w:jc w:val="both"/>
      <w:outlineLvl w:val="1"/>
    </w:pPr>
    <w:rPr>
      <w:rFonts w:ascii="Arial" w:eastAsiaTheme="majorEastAsia" w:hAnsi="Arial" w:cs="Arial"/>
      <w:b/>
      <w:bCs/>
      <w:color w:val="000000" w:themeColor="text1"/>
      <w:lang w:eastAsia="en-GB"/>
    </w:rPr>
  </w:style>
  <w:style w:type="paragraph" w:styleId="Heading4">
    <w:name w:val="heading 4"/>
    <w:basedOn w:val="Normal"/>
    <w:next w:val="Normal"/>
    <w:link w:val="Heading4Char"/>
    <w:uiPriority w:val="9"/>
    <w:unhideWhenUsed/>
    <w:qFormat/>
    <w:rsid w:val="00B107CF"/>
    <w:pPr>
      <w:keepNext/>
      <w:keepLines/>
      <w:numPr>
        <w:ilvl w:val="3"/>
        <w:numId w:val="5"/>
      </w:numPr>
      <w:spacing w:before="200"/>
      <w:jc w:val="both"/>
      <w:outlineLvl w:val="3"/>
    </w:pPr>
    <w:rPr>
      <w:rFonts w:ascii="Arial" w:eastAsiaTheme="majorEastAsia" w:hAnsi="Arial" w:cstheme="majorBidi"/>
      <w:bCs/>
      <w:i/>
      <w:iCs/>
      <w:color w:val="4472C4" w:themeColor="accent1"/>
      <w:sz w:val="20"/>
      <w:szCs w:val="22"/>
    </w:rPr>
  </w:style>
  <w:style w:type="paragraph" w:styleId="Heading5">
    <w:name w:val="heading 5"/>
    <w:basedOn w:val="Normal"/>
    <w:next w:val="Normal"/>
    <w:link w:val="Heading5Char"/>
    <w:uiPriority w:val="9"/>
    <w:unhideWhenUsed/>
    <w:qFormat/>
    <w:rsid w:val="00B107CF"/>
    <w:pPr>
      <w:keepNext/>
      <w:keepLines/>
      <w:numPr>
        <w:ilvl w:val="4"/>
        <w:numId w:val="5"/>
      </w:numPr>
      <w:spacing w:before="200"/>
      <w:jc w:val="both"/>
      <w:outlineLvl w:val="4"/>
    </w:pPr>
    <w:rPr>
      <w:rFonts w:asciiTheme="majorHAnsi" w:eastAsiaTheme="majorEastAsia" w:hAnsiTheme="majorHAnsi" w:cstheme="majorBidi"/>
      <w:color w:val="1F3763" w:themeColor="accent1" w:themeShade="7F"/>
      <w:sz w:val="20"/>
      <w:szCs w:val="22"/>
    </w:rPr>
  </w:style>
  <w:style w:type="paragraph" w:styleId="Heading6">
    <w:name w:val="heading 6"/>
    <w:basedOn w:val="Normal"/>
    <w:next w:val="Normal"/>
    <w:link w:val="Heading6Char"/>
    <w:uiPriority w:val="9"/>
    <w:semiHidden/>
    <w:unhideWhenUsed/>
    <w:qFormat/>
    <w:rsid w:val="00B107CF"/>
    <w:pPr>
      <w:keepNext/>
      <w:keepLines/>
      <w:numPr>
        <w:ilvl w:val="5"/>
        <w:numId w:val="5"/>
      </w:numPr>
      <w:spacing w:before="40"/>
      <w:jc w:val="both"/>
      <w:outlineLvl w:val="5"/>
    </w:pPr>
    <w:rPr>
      <w:rFonts w:asciiTheme="majorHAnsi" w:eastAsiaTheme="majorEastAsia" w:hAnsiTheme="majorHAnsi" w:cstheme="majorBidi"/>
      <w:color w:val="1F3763" w:themeColor="accent1" w:themeShade="7F"/>
      <w:sz w:val="20"/>
      <w:szCs w:val="22"/>
    </w:rPr>
  </w:style>
  <w:style w:type="paragraph" w:styleId="Heading7">
    <w:name w:val="heading 7"/>
    <w:basedOn w:val="Normal"/>
    <w:next w:val="Normal"/>
    <w:link w:val="Heading7Char"/>
    <w:uiPriority w:val="9"/>
    <w:semiHidden/>
    <w:unhideWhenUsed/>
    <w:qFormat/>
    <w:rsid w:val="00B107CF"/>
    <w:pPr>
      <w:keepNext/>
      <w:keepLines/>
      <w:numPr>
        <w:ilvl w:val="6"/>
        <w:numId w:val="5"/>
      </w:numPr>
      <w:spacing w:before="40"/>
      <w:jc w:val="both"/>
      <w:outlineLvl w:val="6"/>
    </w:pPr>
    <w:rPr>
      <w:rFonts w:asciiTheme="majorHAnsi" w:eastAsiaTheme="majorEastAsia" w:hAnsiTheme="majorHAnsi" w:cstheme="majorBidi"/>
      <w:i/>
      <w:iCs/>
      <w:color w:val="1F3763" w:themeColor="accent1" w:themeShade="7F"/>
      <w:sz w:val="20"/>
      <w:szCs w:val="22"/>
    </w:rPr>
  </w:style>
  <w:style w:type="paragraph" w:styleId="Heading8">
    <w:name w:val="heading 8"/>
    <w:basedOn w:val="Normal"/>
    <w:next w:val="Normal"/>
    <w:link w:val="Heading8Char"/>
    <w:uiPriority w:val="9"/>
    <w:semiHidden/>
    <w:unhideWhenUsed/>
    <w:qFormat/>
    <w:rsid w:val="00B107CF"/>
    <w:pPr>
      <w:keepNext/>
      <w:keepLines/>
      <w:numPr>
        <w:ilvl w:val="7"/>
        <w:numId w:val="5"/>
      </w:numPr>
      <w:spacing w:before="40"/>
      <w:jc w:val="both"/>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107CF"/>
    <w:pPr>
      <w:keepNext/>
      <w:keepLines/>
      <w:numPr>
        <w:ilvl w:val="8"/>
        <w:numId w:val="5"/>
      </w:numPr>
      <w:spacing w:before="40"/>
      <w:jc w:val="both"/>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3177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31778"/>
    <w:rPr>
      <w:rFonts w:ascii="Times New Roman" w:hAnsi="Times New Roman" w:cs="Times New Roman"/>
      <w:sz w:val="18"/>
      <w:szCs w:val="18"/>
    </w:rPr>
  </w:style>
  <w:style w:type="character" w:customStyle="1" w:styleId="Heading1Char">
    <w:name w:val="Heading 1 Char"/>
    <w:basedOn w:val="DefaultParagraphFont"/>
    <w:link w:val="Heading1"/>
    <w:uiPriority w:val="9"/>
    <w:rsid w:val="00B107CF"/>
    <w:rPr>
      <w:rFonts w:ascii="Arial" w:eastAsiaTheme="majorEastAsia" w:hAnsi="Arial" w:cstheme="majorBidi"/>
      <w:b/>
      <w:bCs/>
      <w:color w:val="000000" w:themeColor="text1"/>
      <w:sz w:val="28"/>
      <w:szCs w:val="28"/>
    </w:rPr>
  </w:style>
  <w:style w:type="character" w:customStyle="1" w:styleId="Heading2Char">
    <w:name w:val="Heading 2 Char"/>
    <w:basedOn w:val="DefaultParagraphFont"/>
    <w:link w:val="Heading2"/>
    <w:uiPriority w:val="9"/>
    <w:rsid w:val="00B107CF"/>
    <w:rPr>
      <w:rFonts w:ascii="Arial" w:eastAsiaTheme="majorEastAsia" w:hAnsi="Arial" w:cs="Arial"/>
      <w:b/>
      <w:bCs/>
      <w:color w:val="000000" w:themeColor="text1"/>
      <w:lang w:eastAsia="en-GB"/>
    </w:rPr>
  </w:style>
  <w:style w:type="character" w:customStyle="1" w:styleId="Heading4Char">
    <w:name w:val="Heading 4 Char"/>
    <w:basedOn w:val="DefaultParagraphFont"/>
    <w:link w:val="Heading4"/>
    <w:uiPriority w:val="9"/>
    <w:rsid w:val="00B107CF"/>
    <w:rPr>
      <w:rFonts w:ascii="Arial" w:eastAsiaTheme="majorEastAsia" w:hAnsi="Arial" w:cstheme="majorBidi"/>
      <w:bCs/>
      <w:i/>
      <w:iCs/>
      <w:color w:val="4472C4" w:themeColor="accent1"/>
      <w:sz w:val="20"/>
      <w:szCs w:val="22"/>
    </w:rPr>
  </w:style>
  <w:style w:type="character" w:customStyle="1" w:styleId="Heading5Char">
    <w:name w:val="Heading 5 Char"/>
    <w:basedOn w:val="DefaultParagraphFont"/>
    <w:link w:val="Heading5"/>
    <w:uiPriority w:val="9"/>
    <w:rsid w:val="00B107CF"/>
    <w:rPr>
      <w:rFonts w:asciiTheme="majorHAnsi" w:eastAsiaTheme="majorEastAsia" w:hAnsiTheme="majorHAnsi" w:cstheme="majorBidi"/>
      <w:color w:val="1F3763" w:themeColor="accent1" w:themeShade="7F"/>
      <w:sz w:val="20"/>
      <w:szCs w:val="22"/>
    </w:rPr>
  </w:style>
  <w:style w:type="character" w:customStyle="1" w:styleId="Heading6Char">
    <w:name w:val="Heading 6 Char"/>
    <w:basedOn w:val="DefaultParagraphFont"/>
    <w:link w:val="Heading6"/>
    <w:uiPriority w:val="9"/>
    <w:semiHidden/>
    <w:rsid w:val="00B107CF"/>
    <w:rPr>
      <w:rFonts w:asciiTheme="majorHAnsi" w:eastAsiaTheme="majorEastAsia" w:hAnsiTheme="majorHAnsi" w:cstheme="majorBidi"/>
      <w:color w:val="1F3763" w:themeColor="accent1" w:themeShade="7F"/>
      <w:sz w:val="20"/>
      <w:szCs w:val="22"/>
    </w:rPr>
  </w:style>
  <w:style w:type="character" w:customStyle="1" w:styleId="Heading7Char">
    <w:name w:val="Heading 7 Char"/>
    <w:basedOn w:val="DefaultParagraphFont"/>
    <w:link w:val="Heading7"/>
    <w:uiPriority w:val="9"/>
    <w:semiHidden/>
    <w:rsid w:val="00B107CF"/>
    <w:rPr>
      <w:rFonts w:asciiTheme="majorHAnsi" w:eastAsiaTheme="majorEastAsia" w:hAnsiTheme="majorHAnsi" w:cstheme="majorBidi"/>
      <w:i/>
      <w:iCs/>
      <w:color w:val="1F3763" w:themeColor="accent1" w:themeShade="7F"/>
      <w:sz w:val="20"/>
      <w:szCs w:val="22"/>
    </w:rPr>
  </w:style>
  <w:style w:type="character" w:customStyle="1" w:styleId="Heading8Char">
    <w:name w:val="Heading 8 Char"/>
    <w:basedOn w:val="DefaultParagraphFont"/>
    <w:link w:val="Heading8"/>
    <w:uiPriority w:val="9"/>
    <w:semiHidden/>
    <w:rsid w:val="00B107C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107CF"/>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B107CF"/>
    <w:pPr>
      <w:ind w:left="720"/>
      <w:contextualSpacing/>
      <w:jc w:val="both"/>
    </w:pPr>
    <w:rPr>
      <w:rFonts w:ascii="Arial" w:eastAsiaTheme="minorEastAsia" w:hAnsi="Arial"/>
      <w:sz w:val="20"/>
      <w:szCs w:val="22"/>
    </w:rPr>
  </w:style>
  <w:style w:type="paragraph" w:customStyle="1" w:styleId="Normal1">
    <w:name w:val="Normal1"/>
    <w:basedOn w:val="Normal"/>
    <w:rsid w:val="00B107CF"/>
    <w:rPr>
      <w:rFonts w:ascii="Arial" w:eastAsia="Times New Roman" w:hAnsi="Arial" w:cs="Times New Roman"/>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4</Pages>
  <Words>1198</Words>
  <Characters>6835</Characters>
  <Application>Microsoft Office Word</Application>
  <DocSecurity>0</DocSecurity>
  <Lines>56</Lines>
  <Paragraphs>16</Paragraphs>
  <ScaleCrop>false</ScaleCrop>
  <Company/>
  <LinksUpToDate>false</LinksUpToDate>
  <CharactersWithSpaces>8017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Hoffman</dc:creator>
  <cp:keywords/>
  <dc:description/>
  <cp:lastModifiedBy>Jeremy Hoffman</cp:lastModifiedBy>
  <cp:revision>2</cp:revision>
  <dcterms:created xsi:type="dcterms:W3CDTF">2024-03-01T12:57:00Z</dcterms:created>
  <dcterms:modified xsi:type="dcterms:W3CDTF">2024-03-01T12:57:00Z</dcterms:modified>
</cp:coreProperties>
</file>