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FC87" w14:textId="77777777" w:rsidR="00A71D9F" w:rsidRPr="00663419" w:rsidRDefault="00A71D9F" w:rsidP="00A71D9F">
      <w:pPr>
        <w:rPr>
          <w:b/>
        </w:rPr>
      </w:pPr>
      <w:r w:rsidRPr="00663419">
        <w:rPr>
          <w:b/>
        </w:rPr>
        <w:t>WHO Trial Registration Data Set</w:t>
      </w:r>
    </w:p>
    <w:tbl>
      <w:tblPr>
        <w:tblStyle w:val="TableGrid"/>
        <w:tblW w:w="14170" w:type="dxa"/>
        <w:tblLook w:val="04A0" w:firstRow="1" w:lastRow="0" w:firstColumn="1" w:lastColumn="0" w:noHBand="0" w:noVBand="1"/>
      </w:tblPr>
      <w:tblGrid>
        <w:gridCol w:w="562"/>
        <w:gridCol w:w="4395"/>
        <w:gridCol w:w="9213"/>
      </w:tblGrid>
      <w:tr w:rsidR="00A71D9F" w:rsidRPr="00663419" w14:paraId="32B3F96D" w14:textId="77777777" w:rsidTr="47CD7726">
        <w:tc>
          <w:tcPr>
            <w:tcW w:w="562" w:type="dxa"/>
          </w:tcPr>
          <w:p w14:paraId="4568A5AE" w14:textId="77777777" w:rsidR="00A71D9F" w:rsidRPr="00663419" w:rsidRDefault="00A71D9F" w:rsidP="00A71D9F">
            <w:r w:rsidRPr="00663419">
              <w:t>1</w:t>
            </w:r>
          </w:p>
        </w:tc>
        <w:tc>
          <w:tcPr>
            <w:tcW w:w="4395" w:type="dxa"/>
          </w:tcPr>
          <w:p w14:paraId="5AA8DE80" w14:textId="77777777" w:rsidR="00A71D9F" w:rsidRPr="00663419" w:rsidRDefault="00A71D9F" w:rsidP="00A71D9F">
            <w:r w:rsidRPr="00663419">
              <w:t>Primary Registry and Trial Identifying Number</w:t>
            </w:r>
          </w:p>
        </w:tc>
        <w:tc>
          <w:tcPr>
            <w:tcW w:w="9213" w:type="dxa"/>
          </w:tcPr>
          <w:p w14:paraId="1B6CA99F" w14:textId="77777777" w:rsidR="00A71D9F" w:rsidRPr="00663419" w:rsidRDefault="00D57F8D" w:rsidP="00552920">
            <w:r w:rsidRPr="00663419">
              <w:rPr>
                <w:rFonts w:ascii="Calibri" w:hAnsi="Calibri" w:cstheme="minorHAnsi"/>
              </w:rPr>
              <w:t>NCT04274335</w:t>
            </w:r>
          </w:p>
        </w:tc>
      </w:tr>
      <w:tr w:rsidR="00A71D9F" w:rsidRPr="00663419" w14:paraId="55F8C871" w14:textId="77777777" w:rsidTr="47CD7726">
        <w:tc>
          <w:tcPr>
            <w:tcW w:w="562" w:type="dxa"/>
          </w:tcPr>
          <w:p w14:paraId="3D749B12" w14:textId="77777777" w:rsidR="00A71D9F" w:rsidRPr="00663419" w:rsidRDefault="00A71D9F" w:rsidP="00A71D9F">
            <w:r w:rsidRPr="00663419">
              <w:t>2</w:t>
            </w:r>
          </w:p>
        </w:tc>
        <w:tc>
          <w:tcPr>
            <w:tcW w:w="4395" w:type="dxa"/>
          </w:tcPr>
          <w:p w14:paraId="3D6DDE87" w14:textId="77777777" w:rsidR="00A71D9F" w:rsidRPr="00663419" w:rsidRDefault="00A71D9F" w:rsidP="00A71D9F">
            <w:r w:rsidRPr="00663419">
              <w:t>Date of R</w:t>
            </w:r>
            <w:r w:rsidR="00552920" w:rsidRPr="00663419">
              <w:t>egistration in Primary Registry</w:t>
            </w:r>
          </w:p>
        </w:tc>
        <w:tc>
          <w:tcPr>
            <w:tcW w:w="9213" w:type="dxa"/>
          </w:tcPr>
          <w:p w14:paraId="3AFEA47B" w14:textId="77777777" w:rsidR="00552920" w:rsidRPr="00663419" w:rsidRDefault="006136F9" w:rsidP="00A71D9F">
            <w:r w:rsidRPr="00663419">
              <w:t>18</w:t>
            </w:r>
            <w:r w:rsidR="00613FCE" w:rsidRPr="00663419">
              <w:t xml:space="preserve"> </w:t>
            </w:r>
            <w:r w:rsidRPr="00663419">
              <w:t>February</w:t>
            </w:r>
            <w:r w:rsidR="00613FCE" w:rsidRPr="00663419">
              <w:t xml:space="preserve"> 20</w:t>
            </w:r>
            <w:r w:rsidRPr="00663419">
              <w:t>20</w:t>
            </w:r>
          </w:p>
        </w:tc>
      </w:tr>
      <w:tr w:rsidR="00A71D9F" w:rsidRPr="00663419" w14:paraId="54B87A22" w14:textId="77777777" w:rsidTr="47CD7726">
        <w:trPr>
          <w:trHeight w:val="898"/>
        </w:trPr>
        <w:tc>
          <w:tcPr>
            <w:tcW w:w="562" w:type="dxa"/>
          </w:tcPr>
          <w:p w14:paraId="442E7503" w14:textId="77777777" w:rsidR="00A71D9F" w:rsidRPr="00663419" w:rsidRDefault="00A71D9F" w:rsidP="00A71D9F">
            <w:r w:rsidRPr="00663419">
              <w:t>3</w:t>
            </w:r>
          </w:p>
        </w:tc>
        <w:tc>
          <w:tcPr>
            <w:tcW w:w="4395" w:type="dxa"/>
          </w:tcPr>
          <w:p w14:paraId="454BC563" w14:textId="77777777" w:rsidR="00A71D9F" w:rsidRPr="00663419" w:rsidRDefault="00A71D9F" w:rsidP="00A71D9F">
            <w:r w:rsidRPr="00663419">
              <w:t>Secondary Identifying Numbers</w:t>
            </w:r>
          </w:p>
        </w:tc>
        <w:tc>
          <w:tcPr>
            <w:tcW w:w="9213" w:type="dxa"/>
          </w:tcPr>
          <w:p w14:paraId="06E043E1" w14:textId="77777777" w:rsidR="00A830A8" w:rsidRPr="00663419" w:rsidRDefault="00CE15E4" w:rsidP="00CE15E4">
            <w:pPr>
              <w:pStyle w:val="Default"/>
              <w:rPr>
                <w:rFonts w:asciiTheme="minorHAnsi" w:hAnsiTheme="minorHAnsi" w:cstheme="minorHAnsi"/>
                <w:sz w:val="22"/>
                <w:szCs w:val="22"/>
              </w:rPr>
            </w:pPr>
            <w:r w:rsidRPr="00663419">
              <w:rPr>
                <w:rFonts w:asciiTheme="minorHAnsi" w:hAnsiTheme="minorHAnsi" w:cstheme="minorHAnsi"/>
                <w:sz w:val="22"/>
                <w:szCs w:val="22"/>
              </w:rPr>
              <w:t>Sponsor ref</w:t>
            </w:r>
            <w:r w:rsidR="00A830A8" w:rsidRPr="00663419">
              <w:rPr>
                <w:rFonts w:asciiTheme="minorHAnsi" w:hAnsiTheme="minorHAnsi" w:cstheme="minorHAnsi"/>
                <w:sz w:val="22"/>
                <w:szCs w:val="22"/>
              </w:rPr>
              <w:t xml:space="preserve">: LSHTM </w:t>
            </w:r>
            <w:r w:rsidR="00613FCE" w:rsidRPr="00663419">
              <w:rPr>
                <w:rFonts w:asciiTheme="minorHAnsi" w:hAnsiTheme="minorHAnsi" w:cstheme="minorHAnsi"/>
                <w:sz w:val="22"/>
                <w:szCs w:val="22"/>
              </w:rPr>
              <w:t>20</w:t>
            </w:r>
            <w:r w:rsidR="006136F9" w:rsidRPr="00663419">
              <w:rPr>
                <w:rFonts w:asciiTheme="minorHAnsi" w:hAnsiTheme="minorHAnsi" w:cstheme="minorHAnsi"/>
                <w:sz w:val="22"/>
                <w:szCs w:val="22"/>
              </w:rPr>
              <w:t>20-</w:t>
            </w:r>
            <w:r w:rsidR="00613FCE" w:rsidRPr="00663419">
              <w:rPr>
                <w:rFonts w:asciiTheme="minorHAnsi" w:hAnsiTheme="minorHAnsi" w:cstheme="minorHAnsi"/>
                <w:sz w:val="22"/>
                <w:szCs w:val="22"/>
              </w:rPr>
              <w:t>KEP</w:t>
            </w:r>
            <w:r w:rsidR="006136F9" w:rsidRPr="00663419">
              <w:rPr>
                <w:rFonts w:asciiTheme="minorHAnsi" w:hAnsiTheme="minorHAnsi" w:cstheme="minorHAnsi"/>
                <w:sz w:val="22"/>
                <w:szCs w:val="22"/>
              </w:rPr>
              <w:t>-401</w:t>
            </w:r>
          </w:p>
          <w:p w14:paraId="6498CB34" w14:textId="77777777" w:rsidR="00A71D9F" w:rsidRPr="00663419" w:rsidRDefault="00A830A8" w:rsidP="006136F9">
            <w:pPr>
              <w:pStyle w:val="Default"/>
              <w:rPr>
                <w:rFonts w:asciiTheme="minorHAnsi" w:hAnsiTheme="minorHAnsi" w:cstheme="minorHAnsi"/>
                <w:sz w:val="22"/>
                <w:szCs w:val="22"/>
              </w:rPr>
            </w:pPr>
            <w:r w:rsidRPr="00663419">
              <w:rPr>
                <w:rFonts w:asciiTheme="minorHAnsi" w:hAnsiTheme="minorHAnsi" w:cstheme="minorHAnsi"/>
                <w:sz w:val="22"/>
                <w:szCs w:val="22"/>
              </w:rPr>
              <w:t>LSHTM Ethics</w:t>
            </w:r>
            <w:r w:rsidR="00CE15E4" w:rsidRPr="00663419">
              <w:rPr>
                <w:rFonts w:asciiTheme="minorHAnsi" w:hAnsiTheme="minorHAnsi" w:cstheme="minorHAnsi"/>
                <w:sz w:val="22"/>
                <w:szCs w:val="22"/>
              </w:rPr>
              <w:t xml:space="preserve"> ref</w:t>
            </w:r>
            <w:r w:rsidRPr="00663419">
              <w:rPr>
                <w:rFonts w:asciiTheme="minorHAnsi" w:hAnsiTheme="minorHAnsi" w:cstheme="minorHAnsi"/>
                <w:sz w:val="22"/>
                <w:szCs w:val="22"/>
              </w:rPr>
              <w:t xml:space="preserve">: </w:t>
            </w:r>
            <w:r w:rsidR="006136F9" w:rsidRPr="00663419">
              <w:rPr>
                <w:rFonts w:asciiTheme="minorHAnsi" w:hAnsiTheme="minorHAnsi" w:cstheme="minorHAnsi"/>
                <w:sz w:val="22"/>
                <w:szCs w:val="22"/>
              </w:rPr>
              <w:t>21255</w:t>
            </w:r>
          </w:p>
        </w:tc>
      </w:tr>
      <w:tr w:rsidR="00A71D9F" w:rsidRPr="00663419" w14:paraId="08D7C228" w14:textId="77777777" w:rsidTr="47CD7726">
        <w:tc>
          <w:tcPr>
            <w:tcW w:w="562" w:type="dxa"/>
          </w:tcPr>
          <w:p w14:paraId="443247F0" w14:textId="77777777" w:rsidR="00A71D9F" w:rsidRPr="00663419" w:rsidRDefault="00A71D9F" w:rsidP="00A71D9F">
            <w:r w:rsidRPr="00663419">
              <w:t>4</w:t>
            </w:r>
          </w:p>
        </w:tc>
        <w:tc>
          <w:tcPr>
            <w:tcW w:w="4395" w:type="dxa"/>
          </w:tcPr>
          <w:p w14:paraId="57FE9701" w14:textId="77777777" w:rsidR="00A71D9F" w:rsidRPr="00663419" w:rsidRDefault="00A71D9F" w:rsidP="00A71D9F">
            <w:r w:rsidRPr="00663419">
              <w:t>Source(s) of Monetary or Material Support</w:t>
            </w:r>
          </w:p>
        </w:tc>
        <w:tc>
          <w:tcPr>
            <w:tcW w:w="9213" w:type="dxa"/>
          </w:tcPr>
          <w:p w14:paraId="5CF3F2E1" w14:textId="77777777" w:rsidR="00D57F8D" w:rsidRPr="00663419" w:rsidRDefault="00D57F8D" w:rsidP="00D57F8D">
            <w:proofErr w:type="spellStart"/>
            <w:r w:rsidRPr="00663419">
              <w:t>Wellcome</w:t>
            </w:r>
            <w:proofErr w:type="spellEnd"/>
          </w:p>
          <w:p w14:paraId="15B982B3" w14:textId="77777777" w:rsidR="00A830A8" w:rsidRPr="00663419" w:rsidRDefault="00D57F8D" w:rsidP="00D57F8D">
            <w:r w:rsidRPr="00663419">
              <w:t>Bill &amp; Melinda Gates Foundation</w:t>
            </w:r>
          </w:p>
        </w:tc>
      </w:tr>
      <w:tr w:rsidR="00A71D9F" w:rsidRPr="00663419" w14:paraId="215EE122" w14:textId="77777777" w:rsidTr="47CD7726">
        <w:tc>
          <w:tcPr>
            <w:tcW w:w="562" w:type="dxa"/>
          </w:tcPr>
          <w:p w14:paraId="584023B0" w14:textId="77777777" w:rsidR="00A71D9F" w:rsidRPr="00663419" w:rsidRDefault="00A71D9F" w:rsidP="00A71D9F">
            <w:r w:rsidRPr="00663419">
              <w:t>5</w:t>
            </w:r>
          </w:p>
        </w:tc>
        <w:tc>
          <w:tcPr>
            <w:tcW w:w="4395" w:type="dxa"/>
          </w:tcPr>
          <w:p w14:paraId="2FA608C1" w14:textId="77777777" w:rsidR="00A71D9F" w:rsidRPr="00663419" w:rsidRDefault="003E5806" w:rsidP="00854FA6">
            <w:r w:rsidRPr="00663419">
              <w:t>Primary Sponsor</w:t>
            </w:r>
          </w:p>
        </w:tc>
        <w:tc>
          <w:tcPr>
            <w:tcW w:w="9213" w:type="dxa"/>
          </w:tcPr>
          <w:p w14:paraId="0FAAAA95" w14:textId="77777777" w:rsidR="00A71D9F" w:rsidRPr="00663419" w:rsidRDefault="00A830A8" w:rsidP="00A830A8">
            <w:r w:rsidRPr="00663419">
              <w:t>London School of Hygiene &amp; Tropical Medicine</w:t>
            </w:r>
          </w:p>
        </w:tc>
      </w:tr>
      <w:tr w:rsidR="00A71D9F" w:rsidRPr="00663419" w14:paraId="2BFC6D1B" w14:textId="77777777" w:rsidTr="47CD7726">
        <w:tc>
          <w:tcPr>
            <w:tcW w:w="562" w:type="dxa"/>
          </w:tcPr>
          <w:p w14:paraId="4FEFA85F" w14:textId="77777777" w:rsidR="00A71D9F" w:rsidRPr="00663419" w:rsidRDefault="00A71D9F" w:rsidP="00A71D9F">
            <w:r w:rsidRPr="00663419">
              <w:t>6</w:t>
            </w:r>
          </w:p>
        </w:tc>
        <w:tc>
          <w:tcPr>
            <w:tcW w:w="4395" w:type="dxa"/>
          </w:tcPr>
          <w:p w14:paraId="381B283E" w14:textId="77777777" w:rsidR="00A71D9F" w:rsidRPr="00663419" w:rsidRDefault="003E5806" w:rsidP="00D5395D">
            <w:r w:rsidRPr="00663419">
              <w:t>Secondary Sponsor(s)</w:t>
            </w:r>
          </w:p>
        </w:tc>
        <w:tc>
          <w:tcPr>
            <w:tcW w:w="9213" w:type="dxa"/>
          </w:tcPr>
          <w:p w14:paraId="04E3A34D" w14:textId="77777777" w:rsidR="00A71D9F" w:rsidRPr="00663419" w:rsidRDefault="00A207C9" w:rsidP="00A207C9">
            <w:r w:rsidRPr="00663419">
              <w:t>n/a</w:t>
            </w:r>
          </w:p>
        </w:tc>
      </w:tr>
      <w:tr w:rsidR="00A71D9F" w:rsidRPr="00663419" w14:paraId="1D9C9AA4" w14:textId="77777777" w:rsidTr="47CD7726">
        <w:tc>
          <w:tcPr>
            <w:tcW w:w="562" w:type="dxa"/>
          </w:tcPr>
          <w:p w14:paraId="0DF27E20" w14:textId="77777777" w:rsidR="00A71D9F" w:rsidRPr="00663419" w:rsidRDefault="00A71D9F" w:rsidP="00A71D9F">
            <w:r w:rsidRPr="00663419">
              <w:t>7</w:t>
            </w:r>
          </w:p>
        </w:tc>
        <w:tc>
          <w:tcPr>
            <w:tcW w:w="4395" w:type="dxa"/>
          </w:tcPr>
          <w:p w14:paraId="2ADD58E2" w14:textId="77777777" w:rsidR="003E5806" w:rsidRPr="00663419" w:rsidRDefault="003E5806" w:rsidP="003E5806">
            <w:r w:rsidRPr="00663419">
              <w:t>Contact for Public Queries</w:t>
            </w:r>
          </w:p>
          <w:p w14:paraId="08A7A5FB" w14:textId="77777777" w:rsidR="00A71D9F" w:rsidRPr="00663419" w:rsidRDefault="00A71D9F" w:rsidP="00A71D9F"/>
        </w:tc>
        <w:tc>
          <w:tcPr>
            <w:tcW w:w="9213" w:type="dxa"/>
          </w:tcPr>
          <w:p w14:paraId="2297336D" w14:textId="77777777" w:rsidR="00A71D9F" w:rsidRPr="00663419" w:rsidRDefault="006F51D6" w:rsidP="006F51D6">
            <w:r w:rsidRPr="00663419">
              <w:t>Clinical Trials Unit, Keppel Street, London, WC1E 7HT, UK</w:t>
            </w:r>
            <w:r w:rsidRPr="00663419">
              <w:br/>
              <w:t>+44</w:t>
            </w:r>
            <w:r w:rsidR="009125E5" w:rsidRPr="00663419">
              <w:t xml:space="preserve"> </w:t>
            </w:r>
            <w:r w:rsidRPr="00663419">
              <w:t xml:space="preserve">(0)20 7299 4684 </w:t>
            </w:r>
            <w:r w:rsidRPr="00663419">
              <w:br/>
            </w:r>
            <w:hyperlink r:id="rId10" w:history="1">
              <w:r w:rsidR="00D57F8D" w:rsidRPr="00663419">
                <w:rPr>
                  <w:rStyle w:val="Hyperlink"/>
                </w:rPr>
                <w:t>womanptxa@Lshtm.ac.uk</w:t>
              </w:r>
            </w:hyperlink>
          </w:p>
        </w:tc>
      </w:tr>
      <w:tr w:rsidR="00A71D9F" w:rsidRPr="00663419" w14:paraId="4594323D" w14:textId="77777777" w:rsidTr="47CD7726">
        <w:tc>
          <w:tcPr>
            <w:tcW w:w="562" w:type="dxa"/>
          </w:tcPr>
          <w:p w14:paraId="1BE54857" w14:textId="77777777" w:rsidR="00A71D9F" w:rsidRPr="00663419" w:rsidRDefault="00A71D9F" w:rsidP="00A71D9F">
            <w:r w:rsidRPr="00663419">
              <w:t>8</w:t>
            </w:r>
          </w:p>
        </w:tc>
        <w:tc>
          <w:tcPr>
            <w:tcW w:w="4395" w:type="dxa"/>
          </w:tcPr>
          <w:p w14:paraId="46150560" w14:textId="77777777" w:rsidR="00A71D9F" w:rsidRPr="00663419" w:rsidRDefault="003E5806" w:rsidP="00A71D9F">
            <w:r w:rsidRPr="00663419">
              <w:t>Contact for Scientific Queries</w:t>
            </w:r>
          </w:p>
        </w:tc>
        <w:tc>
          <w:tcPr>
            <w:tcW w:w="9213" w:type="dxa"/>
          </w:tcPr>
          <w:p w14:paraId="2F7C1090" w14:textId="77777777" w:rsidR="00A71D9F" w:rsidRPr="00663419" w:rsidRDefault="00B96DB1" w:rsidP="00B96DB1">
            <w:r w:rsidRPr="00663419">
              <w:t xml:space="preserve">Haleema Shakur-Still, </w:t>
            </w:r>
            <w:r w:rsidR="006F51D6" w:rsidRPr="00663419">
              <w:t>Clinical Trials Unit, Keppel Street, London, WC1E 7HT, UK</w:t>
            </w:r>
            <w:r w:rsidR="006F51D6" w:rsidRPr="00663419">
              <w:br/>
              <w:t>+44</w:t>
            </w:r>
            <w:r w:rsidR="009125E5" w:rsidRPr="00663419">
              <w:t xml:space="preserve"> </w:t>
            </w:r>
            <w:r w:rsidR="006F51D6" w:rsidRPr="00663419">
              <w:t xml:space="preserve">(0)20 7299 4684 </w:t>
            </w:r>
            <w:r w:rsidR="006F51D6" w:rsidRPr="00663419">
              <w:br/>
            </w:r>
            <w:hyperlink r:id="rId11" w:history="1">
              <w:r w:rsidR="00D57F8D" w:rsidRPr="00663419">
                <w:rPr>
                  <w:rStyle w:val="Hyperlink"/>
                </w:rPr>
                <w:t>Womanptxa@Lshtm.ac.uk</w:t>
              </w:r>
            </w:hyperlink>
          </w:p>
        </w:tc>
      </w:tr>
      <w:tr w:rsidR="003E5806" w:rsidRPr="00663419" w14:paraId="75D6F9DD" w14:textId="77777777" w:rsidTr="47CD7726">
        <w:tc>
          <w:tcPr>
            <w:tcW w:w="562" w:type="dxa"/>
          </w:tcPr>
          <w:p w14:paraId="61582467" w14:textId="77777777" w:rsidR="003E5806" w:rsidRPr="00663419" w:rsidRDefault="008D23A3" w:rsidP="00A71D9F">
            <w:r w:rsidRPr="00663419">
              <w:t>9</w:t>
            </w:r>
          </w:p>
        </w:tc>
        <w:tc>
          <w:tcPr>
            <w:tcW w:w="4395" w:type="dxa"/>
          </w:tcPr>
          <w:p w14:paraId="0D795FE2" w14:textId="77777777" w:rsidR="003E5806" w:rsidRPr="00663419" w:rsidRDefault="008D23A3" w:rsidP="00D5395D">
            <w:r w:rsidRPr="00663419">
              <w:t>Public Title</w:t>
            </w:r>
          </w:p>
        </w:tc>
        <w:tc>
          <w:tcPr>
            <w:tcW w:w="9213" w:type="dxa"/>
          </w:tcPr>
          <w:p w14:paraId="04601A20" w14:textId="77777777" w:rsidR="003E5806" w:rsidRPr="00663419" w:rsidRDefault="00D57F8D" w:rsidP="00D5395D">
            <w:r w:rsidRPr="00663419">
              <w:t>Pharmacokinetics and pharmacodynamics of tranexamic acid in women having caesarean section birth  (WOMAN-</w:t>
            </w:r>
            <w:proofErr w:type="spellStart"/>
            <w:r w:rsidRPr="00663419">
              <w:t>PharmacoTXA</w:t>
            </w:r>
            <w:proofErr w:type="spellEnd"/>
            <w:r w:rsidRPr="00663419">
              <w:t>)</w:t>
            </w:r>
          </w:p>
        </w:tc>
      </w:tr>
      <w:tr w:rsidR="008D23A3" w:rsidRPr="00663419" w14:paraId="621D2655" w14:textId="77777777" w:rsidTr="47CD7726">
        <w:trPr>
          <w:trHeight w:val="297"/>
        </w:trPr>
        <w:tc>
          <w:tcPr>
            <w:tcW w:w="562" w:type="dxa"/>
          </w:tcPr>
          <w:p w14:paraId="533C94FC" w14:textId="77777777" w:rsidR="008D23A3" w:rsidRPr="00663419" w:rsidRDefault="008D23A3" w:rsidP="00A71D9F">
            <w:r w:rsidRPr="00663419">
              <w:t>10</w:t>
            </w:r>
          </w:p>
        </w:tc>
        <w:tc>
          <w:tcPr>
            <w:tcW w:w="4395" w:type="dxa"/>
          </w:tcPr>
          <w:p w14:paraId="562C7192" w14:textId="77777777" w:rsidR="008D23A3" w:rsidRPr="00663419" w:rsidRDefault="008D23A3" w:rsidP="008D23A3">
            <w:r w:rsidRPr="00663419">
              <w:t>Scientific Title</w:t>
            </w:r>
          </w:p>
          <w:p w14:paraId="020DC8B5" w14:textId="77777777" w:rsidR="008D23A3" w:rsidRPr="00663419" w:rsidRDefault="008D23A3" w:rsidP="00A71D9F"/>
        </w:tc>
        <w:tc>
          <w:tcPr>
            <w:tcW w:w="9213" w:type="dxa"/>
          </w:tcPr>
          <w:p w14:paraId="65D972FC" w14:textId="77777777" w:rsidR="008D23A3" w:rsidRPr="00663419" w:rsidRDefault="00D57F8D" w:rsidP="00E149BB">
            <w:r w:rsidRPr="00663419">
              <w:t>A randomised controlled trial to assess the pharmacokinetics and pharmacodynamics of intramuscular, intravenous and oral administration of tranexamic acid in women giving birth by caesarean section</w:t>
            </w:r>
          </w:p>
        </w:tc>
      </w:tr>
      <w:tr w:rsidR="008D23A3" w:rsidRPr="00663419" w14:paraId="73DFCD2A" w14:textId="77777777" w:rsidTr="47CD7726">
        <w:tc>
          <w:tcPr>
            <w:tcW w:w="562" w:type="dxa"/>
          </w:tcPr>
          <w:p w14:paraId="1354743B" w14:textId="77777777" w:rsidR="008D23A3" w:rsidRPr="00663419" w:rsidRDefault="008D23A3" w:rsidP="00A71D9F">
            <w:r w:rsidRPr="00663419">
              <w:t>11</w:t>
            </w:r>
          </w:p>
        </w:tc>
        <w:tc>
          <w:tcPr>
            <w:tcW w:w="4395" w:type="dxa"/>
          </w:tcPr>
          <w:p w14:paraId="29FBBDBF" w14:textId="77777777" w:rsidR="008D23A3" w:rsidRPr="00663419" w:rsidRDefault="008D23A3" w:rsidP="00D5395D">
            <w:r w:rsidRPr="00663419">
              <w:t>Countries of Recruitment</w:t>
            </w:r>
          </w:p>
        </w:tc>
        <w:tc>
          <w:tcPr>
            <w:tcW w:w="9213" w:type="dxa"/>
          </w:tcPr>
          <w:p w14:paraId="39AB18B6" w14:textId="77777777" w:rsidR="008D23A3" w:rsidRPr="00663419" w:rsidRDefault="00D57F8D" w:rsidP="00D5395D">
            <w:r w:rsidRPr="00663419">
              <w:t>Zambia and Pakistan</w:t>
            </w:r>
          </w:p>
        </w:tc>
      </w:tr>
      <w:tr w:rsidR="008D23A3" w:rsidRPr="00663419" w14:paraId="5D2DBF4F" w14:textId="77777777" w:rsidTr="47CD7726">
        <w:tc>
          <w:tcPr>
            <w:tcW w:w="562" w:type="dxa"/>
          </w:tcPr>
          <w:p w14:paraId="6BCEB64C" w14:textId="77777777" w:rsidR="008D23A3" w:rsidRPr="00663419" w:rsidRDefault="008D23A3" w:rsidP="00A71D9F">
            <w:r w:rsidRPr="00663419">
              <w:t>12</w:t>
            </w:r>
          </w:p>
        </w:tc>
        <w:tc>
          <w:tcPr>
            <w:tcW w:w="4395" w:type="dxa"/>
          </w:tcPr>
          <w:p w14:paraId="74346D21" w14:textId="77777777" w:rsidR="008D23A3" w:rsidRPr="00663419" w:rsidRDefault="008D23A3" w:rsidP="00D5395D">
            <w:r w:rsidRPr="00663419">
              <w:t>Health Condition(s) or Problem(s) Studied</w:t>
            </w:r>
          </w:p>
        </w:tc>
        <w:tc>
          <w:tcPr>
            <w:tcW w:w="9213" w:type="dxa"/>
          </w:tcPr>
          <w:p w14:paraId="1A4B7E01" w14:textId="77777777" w:rsidR="008D23A3" w:rsidRPr="00663419" w:rsidRDefault="00D57F8D" w:rsidP="003E5806">
            <w:r w:rsidRPr="00663419">
              <w:t>Postpartum haemorrhage</w:t>
            </w:r>
          </w:p>
        </w:tc>
      </w:tr>
      <w:tr w:rsidR="008D23A3" w:rsidRPr="00663419" w14:paraId="39BF617E" w14:textId="77777777" w:rsidTr="47CD7726">
        <w:trPr>
          <w:trHeight w:val="327"/>
        </w:trPr>
        <w:tc>
          <w:tcPr>
            <w:tcW w:w="562" w:type="dxa"/>
          </w:tcPr>
          <w:p w14:paraId="3F111676" w14:textId="77777777" w:rsidR="008D23A3" w:rsidRPr="00663419" w:rsidRDefault="008D23A3" w:rsidP="00A71D9F">
            <w:r w:rsidRPr="00663419">
              <w:t>13</w:t>
            </w:r>
          </w:p>
        </w:tc>
        <w:tc>
          <w:tcPr>
            <w:tcW w:w="4395" w:type="dxa"/>
          </w:tcPr>
          <w:p w14:paraId="0D9781C4" w14:textId="77777777" w:rsidR="008D23A3" w:rsidRPr="00663419" w:rsidRDefault="008D23A3" w:rsidP="008D23A3">
            <w:r w:rsidRPr="00663419">
              <w:t>Intervention(s)</w:t>
            </w:r>
          </w:p>
          <w:p w14:paraId="0859E7F7" w14:textId="77777777" w:rsidR="008D23A3" w:rsidRPr="00663419" w:rsidRDefault="008D23A3" w:rsidP="00A71D9F"/>
        </w:tc>
        <w:tc>
          <w:tcPr>
            <w:tcW w:w="9213" w:type="dxa"/>
          </w:tcPr>
          <w:p w14:paraId="7C24A533" w14:textId="77777777" w:rsidR="00934283" w:rsidRPr="00663419" w:rsidRDefault="004562E2" w:rsidP="00045EF9">
            <w:pPr>
              <w:rPr>
                <w:rFonts w:ascii="Calibri" w:hAnsi="Calibri" w:cstheme="minorHAnsi"/>
              </w:rPr>
            </w:pPr>
            <w:r w:rsidRPr="00663419">
              <w:t>Active Comparator: Tranexamic acid</w:t>
            </w:r>
            <w:r w:rsidR="00934283" w:rsidRPr="00663419">
              <w:t xml:space="preserve"> (TXA)</w:t>
            </w:r>
            <w:r w:rsidRPr="00663419">
              <w:t xml:space="preserve"> </w:t>
            </w:r>
            <w:r w:rsidRPr="00663419">
              <w:rPr>
                <w:rFonts w:ascii="Calibri" w:hAnsi="Calibri" w:cstheme="minorHAnsi"/>
              </w:rPr>
              <w:t>intravenous, intramuscular and oral liquid</w:t>
            </w:r>
            <w:r w:rsidR="00934283" w:rsidRPr="00663419">
              <w:rPr>
                <w:rFonts w:ascii="Calibri" w:hAnsi="Calibri" w:cstheme="minorHAnsi"/>
              </w:rPr>
              <w:t>.</w:t>
            </w:r>
            <w:r w:rsidRPr="00663419">
              <w:rPr>
                <w:rFonts w:ascii="Calibri" w:hAnsi="Calibri" w:cstheme="minorHAnsi"/>
              </w:rPr>
              <w:t xml:space="preserve"> </w:t>
            </w:r>
          </w:p>
          <w:p w14:paraId="24E297C1" w14:textId="77777777" w:rsidR="00934283" w:rsidRPr="00663419" w:rsidRDefault="00934283" w:rsidP="00045EF9">
            <w:pPr>
              <w:rPr>
                <w:rFonts w:ascii="Calibri" w:hAnsi="Calibri" w:cstheme="minorHAnsi"/>
              </w:rPr>
            </w:pPr>
            <w:r w:rsidRPr="00663419">
              <w:rPr>
                <w:rFonts w:ascii="Calibri" w:hAnsi="Calibri" w:cstheme="minorHAnsi"/>
              </w:rPr>
              <w:t>Control intervention: No treatment.</w:t>
            </w:r>
          </w:p>
          <w:p w14:paraId="23E49544" w14:textId="77777777" w:rsidR="004562E2" w:rsidRPr="00663419" w:rsidRDefault="00934283" w:rsidP="00045EF9">
            <w:r w:rsidRPr="00663419">
              <w:rPr>
                <w:rFonts w:ascii="Calibri" w:hAnsi="Calibri" w:cstheme="minorHAnsi"/>
              </w:rPr>
              <w:t>W</w:t>
            </w:r>
            <w:r w:rsidR="004562E2" w:rsidRPr="00663419">
              <w:rPr>
                <w:rFonts w:ascii="Calibri" w:hAnsi="Calibri" w:cstheme="minorHAnsi"/>
              </w:rPr>
              <w:t>omen will be randomised to one of the following groups:</w:t>
            </w:r>
          </w:p>
          <w:p w14:paraId="133F167E" w14:textId="77777777" w:rsidR="00045EF9" w:rsidRPr="00663419" w:rsidRDefault="00045EF9" w:rsidP="00045EF9">
            <w:r w:rsidRPr="00663419">
              <w:t>1.</w:t>
            </w:r>
            <w:r w:rsidRPr="00663419">
              <w:tab/>
              <w:t>1 gram dose of TXA by IV injection about 1 hour before CS. Number of participants = 30</w:t>
            </w:r>
          </w:p>
          <w:p w14:paraId="764E8981" w14:textId="77777777" w:rsidR="00045EF9" w:rsidRPr="00663419" w:rsidRDefault="00045EF9" w:rsidP="00045EF9">
            <w:r w:rsidRPr="00663419">
              <w:t>2.</w:t>
            </w:r>
            <w:r w:rsidRPr="00663419">
              <w:tab/>
              <w:t>1 gram dose of TXA by IM injection about 1 hour before CS. Number of participants =30</w:t>
            </w:r>
          </w:p>
          <w:p w14:paraId="3DFE20BC" w14:textId="77777777" w:rsidR="00045EF9" w:rsidRPr="00663419" w:rsidRDefault="00045EF9" w:rsidP="00045EF9">
            <w:r w:rsidRPr="00663419">
              <w:t>3.</w:t>
            </w:r>
            <w:r w:rsidRPr="00663419">
              <w:tab/>
              <w:t>4 g of TXA solution orally about 1 h before CS. Number of participants = 30</w:t>
            </w:r>
          </w:p>
          <w:p w14:paraId="593AA456" w14:textId="77777777" w:rsidR="008D23A3" w:rsidRPr="00663419" w:rsidRDefault="00045EF9" w:rsidP="00045EF9">
            <w:r w:rsidRPr="00663419">
              <w:t>4.</w:t>
            </w:r>
            <w:r w:rsidRPr="00663419">
              <w:tab/>
              <w:t>No administration of TXA. Number of participants = 30</w:t>
            </w:r>
          </w:p>
        </w:tc>
      </w:tr>
      <w:tr w:rsidR="008D23A3" w:rsidRPr="00663419" w14:paraId="0E36F132" w14:textId="77777777" w:rsidTr="47CD7726">
        <w:tc>
          <w:tcPr>
            <w:tcW w:w="562" w:type="dxa"/>
          </w:tcPr>
          <w:p w14:paraId="7E0BE7FA" w14:textId="77777777" w:rsidR="008D23A3" w:rsidRPr="00663419" w:rsidRDefault="006206E0" w:rsidP="00A71D9F">
            <w:r w:rsidRPr="00663419">
              <w:t>14</w:t>
            </w:r>
          </w:p>
        </w:tc>
        <w:tc>
          <w:tcPr>
            <w:tcW w:w="4395" w:type="dxa"/>
          </w:tcPr>
          <w:p w14:paraId="29CF4D6B" w14:textId="77777777" w:rsidR="008D23A3" w:rsidRPr="00663419" w:rsidRDefault="008D23A3" w:rsidP="008D23A3">
            <w:r w:rsidRPr="00663419">
              <w:t>Key Inclusion and Exclusion Criteria</w:t>
            </w:r>
          </w:p>
        </w:tc>
        <w:tc>
          <w:tcPr>
            <w:tcW w:w="9213" w:type="dxa"/>
          </w:tcPr>
          <w:p w14:paraId="10D9D56B" w14:textId="77777777" w:rsidR="00396A25" w:rsidRPr="00663419" w:rsidRDefault="00396A25" w:rsidP="00396A25">
            <w:r w:rsidRPr="00663419">
              <w:t>Inclusion Criteria:</w:t>
            </w:r>
          </w:p>
          <w:p w14:paraId="0FDD31A8" w14:textId="77777777" w:rsidR="002A2E5D" w:rsidRPr="00663419" w:rsidRDefault="002A2E5D" w:rsidP="002A2E5D">
            <w:pPr>
              <w:numPr>
                <w:ilvl w:val="0"/>
                <w:numId w:val="1"/>
              </w:numPr>
              <w:spacing w:after="120" w:line="276" w:lineRule="auto"/>
              <w:contextualSpacing/>
              <w:jc w:val="both"/>
              <w:rPr>
                <w:rFonts w:ascii="Calibri" w:eastAsiaTheme="majorEastAsia" w:hAnsi="Calibri" w:cstheme="minorHAnsi"/>
                <w:bCs/>
              </w:rPr>
            </w:pPr>
            <w:r w:rsidRPr="00663419">
              <w:rPr>
                <w:rFonts w:ascii="Calibri" w:eastAsiaTheme="majorEastAsia" w:hAnsi="Calibri" w:cstheme="minorHAnsi"/>
                <w:bCs/>
              </w:rPr>
              <w:lastRenderedPageBreak/>
              <w:t>Women admitted to hospital giving birth by CS</w:t>
            </w:r>
          </w:p>
          <w:p w14:paraId="33C6ADF5" w14:textId="77777777" w:rsidR="002A2E5D" w:rsidRPr="00663419" w:rsidRDefault="002A2E5D" w:rsidP="002A2E5D">
            <w:pPr>
              <w:numPr>
                <w:ilvl w:val="0"/>
                <w:numId w:val="1"/>
              </w:numPr>
              <w:spacing w:after="120" w:line="276" w:lineRule="auto"/>
              <w:contextualSpacing/>
              <w:jc w:val="both"/>
              <w:rPr>
                <w:rFonts w:ascii="Calibri" w:eastAsiaTheme="majorEastAsia" w:hAnsi="Calibri" w:cstheme="minorHAnsi"/>
                <w:bCs/>
              </w:rPr>
            </w:pPr>
            <w:r w:rsidRPr="00663419">
              <w:rPr>
                <w:rFonts w:ascii="Calibri" w:eastAsiaTheme="majorEastAsia" w:hAnsi="Calibri" w:cstheme="minorHAnsi"/>
                <w:bCs/>
              </w:rPr>
              <w:t>History of at least one risk factor for PPH</w:t>
            </w:r>
          </w:p>
          <w:p w14:paraId="680C651F" w14:textId="77777777" w:rsidR="002A2E5D" w:rsidRPr="00663419" w:rsidRDefault="002A2E5D" w:rsidP="002A2E5D">
            <w:pPr>
              <w:numPr>
                <w:ilvl w:val="0"/>
                <w:numId w:val="1"/>
              </w:numPr>
              <w:spacing w:after="120" w:line="276" w:lineRule="auto"/>
              <w:ind w:left="527" w:hanging="357"/>
              <w:contextualSpacing/>
              <w:jc w:val="both"/>
              <w:rPr>
                <w:rFonts w:ascii="Calibri" w:eastAsiaTheme="majorEastAsia" w:hAnsi="Calibri" w:cstheme="minorHAnsi"/>
                <w:bCs/>
              </w:rPr>
            </w:pPr>
            <w:r w:rsidRPr="00663419">
              <w:rPr>
                <w:rFonts w:ascii="Calibri" w:eastAsiaTheme="majorEastAsia" w:hAnsi="Calibri" w:cstheme="minorHAnsi"/>
                <w:bCs/>
              </w:rPr>
              <w:t>Adult (≥18 years old)</w:t>
            </w:r>
          </w:p>
          <w:p w14:paraId="3E903D4A" w14:textId="77777777" w:rsidR="00396A25" w:rsidRPr="00663419" w:rsidRDefault="00396A25" w:rsidP="00396A25"/>
          <w:p w14:paraId="3E8C105B" w14:textId="77777777" w:rsidR="0069046E" w:rsidRPr="00663419" w:rsidRDefault="00396A25" w:rsidP="00396A25">
            <w:r w:rsidRPr="00663419">
              <w:t xml:space="preserve">Exclusion Criteria: </w:t>
            </w:r>
          </w:p>
          <w:p w14:paraId="1E5C500C" w14:textId="77777777" w:rsidR="002A2E5D" w:rsidRPr="00663419" w:rsidRDefault="002A2E5D" w:rsidP="002A2E5D">
            <w:pPr>
              <w:pStyle w:val="ListParagraph"/>
              <w:numPr>
                <w:ilvl w:val="0"/>
                <w:numId w:val="2"/>
              </w:numPr>
              <w:rPr>
                <w:rFonts w:ascii="Calibri" w:hAnsi="Calibri"/>
              </w:rPr>
            </w:pPr>
            <w:r w:rsidRPr="00663419">
              <w:rPr>
                <w:rFonts w:ascii="Calibri" w:hAnsi="Calibri"/>
              </w:rPr>
              <w:t>Women giving birth vaginally</w:t>
            </w:r>
          </w:p>
          <w:p w14:paraId="56779FCB" w14:textId="77777777" w:rsidR="002A2E5D" w:rsidRPr="00663419" w:rsidRDefault="002A2E5D" w:rsidP="002A2E5D">
            <w:pPr>
              <w:pStyle w:val="ListParagraph"/>
              <w:numPr>
                <w:ilvl w:val="0"/>
                <w:numId w:val="2"/>
              </w:numPr>
              <w:rPr>
                <w:rFonts w:ascii="Calibri" w:hAnsi="Calibri"/>
              </w:rPr>
            </w:pPr>
            <w:r w:rsidRPr="00663419">
              <w:rPr>
                <w:rFonts w:ascii="Calibri" w:hAnsi="Calibri"/>
              </w:rPr>
              <w:t>Women with a known allergy to TXA or its excipients</w:t>
            </w:r>
          </w:p>
          <w:p w14:paraId="463A1ADE" w14:textId="77777777" w:rsidR="002A2E5D" w:rsidRPr="00663419" w:rsidRDefault="002A2E5D" w:rsidP="002A2E5D">
            <w:pPr>
              <w:pStyle w:val="ListParagraph"/>
              <w:numPr>
                <w:ilvl w:val="0"/>
                <w:numId w:val="2"/>
              </w:numPr>
              <w:rPr>
                <w:rFonts w:ascii="Calibri" w:hAnsi="Calibri"/>
              </w:rPr>
            </w:pPr>
            <w:r w:rsidRPr="00663419">
              <w:rPr>
                <w:rFonts w:ascii="Calibri" w:hAnsi="Calibri"/>
              </w:rPr>
              <w:t>Women with current antepartum haemorrhage</w:t>
            </w:r>
          </w:p>
          <w:p w14:paraId="3E25949C" w14:textId="77777777" w:rsidR="002A2E5D" w:rsidRPr="00663419" w:rsidRDefault="002A2E5D" w:rsidP="002A2E5D">
            <w:pPr>
              <w:pStyle w:val="ListParagraph"/>
              <w:numPr>
                <w:ilvl w:val="0"/>
                <w:numId w:val="2"/>
              </w:numPr>
              <w:rPr>
                <w:rFonts w:ascii="Calibri" w:hAnsi="Calibri"/>
              </w:rPr>
            </w:pPr>
            <w:r w:rsidRPr="00663419">
              <w:rPr>
                <w:rFonts w:ascii="Calibri" w:hAnsi="Calibri"/>
              </w:rPr>
              <w:t>Women known to have received TXA within 48 hours prior to randomisation</w:t>
            </w:r>
          </w:p>
          <w:p w14:paraId="42C2F5F8" w14:textId="77777777" w:rsidR="002A2E5D" w:rsidRPr="00663419" w:rsidRDefault="002A2E5D" w:rsidP="002A2E5D">
            <w:pPr>
              <w:pStyle w:val="ListParagraph"/>
              <w:numPr>
                <w:ilvl w:val="0"/>
                <w:numId w:val="2"/>
              </w:numPr>
              <w:rPr>
                <w:rFonts w:ascii="Calibri" w:hAnsi="Calibri"/>
              </w:rPr>
            </w:pPr>
            <w:r w:rsidRPr="00663419">
              <w:rPr>
                <w:rFonts w:ascii="Calibri" w:hAnsi="Calibri"/>
              </w:rPr>
              <w:t>Women with known renal impairment</w:t>
            </w:r>
          </w:p>
          <w:p w14:paraId="4C630801" w14:textId="77777777" w:rsidR="002A2E5D" w:rsidRPr="00663419" w:rsidRDefault="002A2E5D" w:rsidP="002A2E5D">
            <w:pPr>
              <w:pStyle w:val="ListParagraph"/>
              <w:numPr>
                <w:ilvl w:val="0"/>
                <w:numId w:val="2"/>
              </w:numPr>
              <w:rPr>
                <w:rFonts w:ascii="Calibri" w:hAnsi="Calibri"/>
              </w:rPr>
            </w:pPr>
            <w:r w:rsidRPr="00663419">
              <w:rPr>
                <w:rFonts w:ascii="Calibri" w:hAnsi="Calibri"/>
              </w:rPr>
              <w:t>Women with any known blood clotting disorder</w:t>
            </w:r>
          </w:p>
        </w:tc>
      </w:tr>
      <w:tr w:rsidR="008D23A3" w:rsidRPr="00663419" w14:paraId="00A809FC" w14:textId="77777777" w:rsidTr="47CD7726">
        <w:tc>
          <w:tcPr>
            <w:tcW w:w="562" w:type="dxa"/>
          </w:tcPr>
          <w:p w14:paraId="6CCFD50A" w14:textId="77777777" w:rsidR="008D23A3" w:rsidRPr="00663419" w:rsidRDefault="006206E0" w:rsidP="00A71D9F">
            <w:r w:rsidRPr="00663419">
              <w:lastRenderedPageBreak/>
              <w:t>15</w:t>
            </w:r>
          </w:p>
        </w:tc>
        <w:tc>
          <w:tcPr>
            <w:tcW w:w="4395" w:type="dxa"/>
          </w:tcPr>
          <w:p w14:paraId="7C2CE494" w14:textId="77777777" w:rsidR="002A2551" w:rsidRPr="00663419" w:rsidRDefault="002A2551" w:rsidP="002A2551">
            <w:r w:rsidRPr="00663419">
              <w:t>Study Type</w:t>
            </w:r>
          </w:p>
          <w:p w14:paraId="6149FD05" w14:textId="77777777" w:rsidR="008D23A3" w:rsidRPr="00663419" w:rsidRDefault="008D23A3" w:rsidP="00A71D9F"/>
        </w:tc>
        <w:tc>
          <w:tcPr>
            <w:tcW w:w="9213" w:type="dxa"/>
          </w:tcPr>
          <w:p w14:paraId="6E7CA160" w14:textId="77777777" w:rsidR="002A2551" w:rsidRPr="00663419" w:rsidRDefault="002A2551" w:rsidP="002A2551">
            <w:r w:rsidRPr="00663419">
              <w:t>Type of study</w:t>
            </w:r>
            <w:r w:rsidR="0031243E" w:rsidRPr="00663419">
              <w:t xml:space="preserve">: </w:t>
            </w:r>
            <w:r w:rsidRPr="00663419">
              <w:t>interventional</w:t>
            </w:r>
          </w:p>
          <w:p w14:paraId="3E47C3AE" w14:textId="77777777" w:rsidR="00274211" w:rsidRPr="00663419" w:rsidRDefault="00274211" w:rsidP="002A2551">
            <w:r w:rsidRPr="00663419">
              <w:t>Method of allocation: randomised</w:t>
            </w:r>
          </w:p>
          <w:p w14:paraId="622AC1F3" w14:textId="77777777" w:rsidR="008D23A3" w:rsidRPr="00663419" w:rsidRDefault="00396A25" w:rsidP="0031243E">
            <w:r w:rsidRPr="00663419">
              <w:t>Masking: None (Open Label)</w:t>
            </w:r>
          </w:p>
          <w:p w14:paraId="1D5F7C05" w14:textId="77777777" w:rsidR="00274211" w:rsidRPr="00663419" w:rsidRDefault="00274211" w:rsidP="00274211">
            <w:r w:rsidRPr="00663419">
              <w:t>Assignment: parallel, 4 arms</w:t>
            </w:r>
          </w:p>
          <w:p w14:paraId="73257F24" w14:textId="77777777" w:rsidR="00274211" w:rsidRPr="00663419" w:rsidRDefault="00274211" w:rsidP="00274211">
            <w:r w:rsidRPr="00663419">
              <w:t>Phase: 2</w:t>
            </w:r>
          </w:p>
          <w:p w14:paraId="008B722E" w14:textId="77777777" w:rsidR="00274211" w:rsidRPr="00663419" w:rsidRDefault="00BE1893" w:rsidP="0031243E">
            <w:pPr>
              <w:rPr>
                <w:rFonts w:ascii="Calibri" w:hAnsi="Calibri" w:cs="Calibri"/>
              </w:rPr>
            </w:pPr>
            <w:r w:rsidRPr="00663419">
              <w:rPr>
                <w:rFonts w:ascii="Calibri" w:hAnsi="Calibri"/>
              </w:rPr>
              <w:t>E</w:t>
            </w:r>
            <w:r w:rsidR="00274211" w:rsidRPr="00663419">
              <w:rPr>
                <w:rFonts w:ascii="Calibri" w:hAnsi="Calibri"/>
              </w:rPr>
              <w:t xml:space="preserve">nrolled participants will be randomised into one of the four groups described in section 13. The allocation sequence for each dosing cohort will be created using computer-generated random numbers, using blocking to ensure the required balance in the allocation of participants to treatment arms. The allocation ratio will </w:t>
            </w:r>
            <w:r w:rsidR="00274211" w:rsidRPr="00663419">
              <w:rPr>
                <w:rFonts w:ascii="Calibri" w:hAnsi="Calibri" w:cs="Calibri"/>
              </w:rPr>
              <w:t xml:space="preserve">be 1:1:1:1 </w:t>
            </w:r>
          </w:p>
        </w:tc>
      </w:tr>
      <w:tr w:rsidR="008D23A3" w:rsidRPr="00663419" w14:paraId="6D7E5C1D" w14:textId="77777777" w:rsidTr="47CD7726">
        <w:tc>
          <w:tcPr>
            <w:tcW w:w="562" w:type="dxa"/>
          </w:tcPr>
          <w:p w14:paraId="4993AFA9" w14:textId="77777777" w:rsidR="008D23A3" w:rsidRPr="00663419" w:rsidRDefault="006206E0" w:rsidP="00A71D9F">
            <w:r w:rsidRPr="00663419">
              <w:t>16</w:t>
            </w:r>
          </w:p>
        </w:tc>
        <w:tc>
          <w:tcPr>
            <w:tcW w:w="4395" w:type="dxa"/>
          </w:tcPr>
          <w:p w14:paraId="41C6C4B1" w14:textId="77777777" w:rsidR="008D23A3" w:rsidRPr="00663419" w:rsidRDefault="002A2551" w:rsidP="006F2167">
            <w:r w:rsidRPr="00663419">
              <w:t xml:space="preserve">Date of First </w:t>
            </w:r>
            <w:r w:rsidR="0031243E" w:rsidRPr="00663419">
              <w:t>Enrolment</w:t>
            </w:r>
          </w:p>
        </w:tc>
        <w:tc>
          <w:tcPr>
            <w:tcW w:w="9213" w:type="dxa"/>
          </w:tcPr>
          <w:p w14:paraId="017480D0" w14:textId="64BF38F5" w:rsidR="008D23A3" w:rsidRPr="00663419" w:rsidRDefault="12F5FF82" w:rsidP="47CD7726">
            <w:pPr>
              <w:spacing w:line="259" w:lineRule="auto"/>
            </w:pPr>
            <w:r>
              <w:t>18 December 2020</w:t>
            </w:r>
          </w:p>
        </w:tc>
      </w:tr>
      <w:tr w:rsidR="002A2551" w:rsidRPr="00663419" w14:paraId="751E3985" w14:textId="77777777" w:rsidTr="47CD7726">
        <w:tc>
          <w:tcPr>
            <w:tcW w:w="562" w:type="dxa"/>
          </w:tcPr>
          <w:p w14:paraId="23A0B95A" w14:textId="77777777" w:rsidR="002A2551" w:rsidRPr="00663419" w:rsidRDefault="006F2167" w:rsidP="00A71D9F">
            <w:r w:rsidRPr="00663419">
              <w:t>17</w:t>
            </w:r>
          </w:p>
        </w:tc>
        <w:tc>
          <w:tcPr>
            <w:tcW w:w="4395" w:type="dxa"/>
          </w:tcPr>
          <w:p w14:paraId="67F3779A" w14:textId="77777777" w:rsidR="002A2551" w:rsidRPr="00663419" w:rsidRDefault="001C414C" w:rsidP="0031243E">
            <w:r w:rsidRPr="00663419">
              <w:t>Sample Size</w:t>
            </w:r>
          </w:p>
        </w:tc>
        <w:tc>
          <w:tcPr>
            <w:tcW w:w="9213" w:type="dxa"/>
          </w:tcPr>
          <w:p w14:paraId="02403AD9" w14:textId="77777777" w:rsidR="002A2551" w:rsidRPr="00663419" w:rsidRDefault="00396A25" w:rsidP="002A2551">
            <w:r w:rsidRPr="00663419">
              <w:t xml:space="preserve">Planned sample size: </w:t>
            </w:r>
            <w:r w:rsidR="004A3086" w:rsidRPr="00663419">
              <w:t>120</w:t>
            </w:r>
          </w:p>
        </w:tc>
      </w:tr>
      <w:tr w:rsidR="002A2551" w:rsidRPr="00663419" w14:paraId="274FB5DD" w14:textId="77777777" w:rsidTr="47CD7726">
        <w:tc>
          <w:tcPr>
            <w:tcW w:w="562" w:type="dxa"/>
          </w:tcPr>
          <w:p w14:paraId="2391A758" w14:textId="77777777" w:rsidR="002A2551" w:rsidRPr="00663419" w:rsidRDefault="006F2167" w:rsidP="00A71D9F">
            <w:r w:rsidRPr="00663419">
              <w:t>18</w:t>
            </w:r>
          </w:p>
        </w:tc>
        <w:tc>
          <w:tcPr>
            <w:tcW w:w="4395" w:type="dxa"/>
          </w:tcPr>
          <w:p w14:paraId="25CDA779" w14:textId="77777777" w:rsidR="002A2551" w:rsidRPr="00663419" w:rsidRDefault="006F2167" w:rsidP="002A2551">
            <w:r w:rsidRPr="00663419">
              <w:t>Recruitment Status</w:t>
            </w:r>
          </w:p>
        </w:tc>
        <w:tc>
          <w:tcPr>
            <w:tcW w:w="9213" w:type="dxa"/>
          </w:tcPr>
          <w:p w14:paraId="5D9E91E4" w14:textId="5B6DF88E" w:rsidR="002A2551" w:rsidRPr="00663419" w:rsidRDefault="15442CC2" w:rsidP="47CD7726">
            <w:pPr>
              <w:spacing w:line="259" w:lineRule="auto"/>
            </w:pPr>
            <w:r>
              <w:t>Recruiting</w:t>
            </w:r>
          </w:p>
        </w:tc>
      </w:tr>
      <w:tr w:rsidR="002A2551" w:rsidRPr="00663419" w14:paraId="4EEF44F7" w14:textId="77777777" w:rsidTr="47CD7726">
        <w:tc>
          <w:tcPr>
            <w:tcW w:w="562" w:type="dxa"/>
          </w:tcPr>
          <w:p w14:paraId="3800B78D" w14:textId="77777777" w:rsidR="002A2551" w:rsidRPr="00663419" w:rsidRDefault="006F2167" w:rsidP="00A71D9F">
            <w:r w:rsidRPr="00663419">
              <w:t>19</w:t>
            </w:r>
          </w:p>
        </w:tc>
        <w:tc>
          <w:tcPr>
            <w:tcW w:w="4395" w:type="dxa"/>
          </w:tcPr>
          <w:p w14:paraId="0E8E7504" w14:textId="77777777" w:rsidR="002A2551" w:rsidRPr="00663419" w:rsidRDefault="001C414C" w:rsidP="00CE03E0">
            <w:r w:rsidRPr="00663419">
              <w:t>Primary Outcome(s)</w:t>
            </w:r>
          </w:p>
        </w:tc>
        <w:tc>
          <w:tcPr>
            <w:tcW w:w="9213" w:type="dxa"/>
          </w:tcPr>
          <w:p w14:paraId="0A2BD74C" w14:textId="77777777" w:rsidR="002A2551" w:rsidRPr="00663419" w:rsidRDefault="00514398" w:rsidP="004E33B2">
            <w:r w:rsidRPr="00663419">
              <w:rPr>
                <w:rFonts w:ascii="Calibri" w:hAnsi="Calibri"/>
              </w:rPr>
              <w:t>Blood TXA over time up to 24 hours after randomisation</w:t>
            </w:r>
          </w:p>
        </w:tc>
      </w:tr>
      <w:tr w:rsidR="002A2551" w:rsidRPr="00663419" w14:paraId="72DE97C8" w14:textId="77777777" w:rsidTr="47CD7726">
        <w:tc>
          <w:tcPr>
            <w:tcW w:w="562" w:type="dxa"/>
          </w:tcPr>
          <w:p w14:paraId="4C35A713" w14:textId="77777777" w:rsidR="002A2551" w:rsidRPr="00663419" w:rsidRDefault="00FA4013" w:rsidP="00A71D9F">
            <w:r w:rsidRPr="00663419">
              <w:t>20</w:t>
            </w:r>
          </w:p>
        </w:tc>
        <w:tc>
          <w:tcPr>
            <w:tcW w:w="4395" w:type="dxa"/>
          </w:tcPr>
          <w:p w14:paraId="41575A98" w14:textId="77777777" w:rsidR="00613C2B" w:rsidRPr="00663419" w:rsidRDefault="00613C2B" w:rsidP="00613C2B">
            <w:r w:rsidRPr="00663419">
              <w:t>Key Secondary Outcomes</w:t>
            </w:r>
          </w:p>
          <w:p w14:paraId="4F3B5920" w14:textId="77777777" w:rsidR="002A2551" w:rsidRPr="00663419" w:rsidRDefault="002A2551" w:rsidP="002A2551"/>
        </w:tc>
        <w:tc>
          <w:tcPr>
            <w:tcW w:w="9213" w:type="dxa"/>
          </w:tcPr>
          <w:p w14:paraId="32D70DA6" w14:textId="77777777" w:rsidR="003E017A" w:rsidRPr="00663419" w:rsidRDefault="003E017A" w:rsidP="003E017A">
            <w:pPr>
              <w:spacing w:after="120" w:line="300" w:lineRule="exact"/>
              <w:rPr>
                <w:rFonts w:ascii="Calibri" w:hAnsi="Calibri"/>
              </w:rPr>
            </w:pPr>
            <w:r w:rsidRPr="00663419">
              <w:rPr>
                <w:rFonts w:ascii="Calibri" w:hAnsi="Calibri"/>
              </w:rPr>
              <w:t>Concentrations of TXA in cord blood after birth and neonate level within the first 24 hours of birth</w:t>
            </w:r>
          </w:p>
          <w:p w14:paraId="7F3357CB" w14:textId="77777777" w:rsidR="003E017A" w:rsidRPr="00663419" w:rsidRDefault="00E411C6" w:rsidP="003E017A">
            <w:pPr>
              <w:spacing w:after="120" w:line="300" w:lineRule="exact"/>
              <w:rPr>
                <w:rFonts w:ascii="Calibri" w:hAnsi="Calibri"/>
              </w:rPr>
            </w:pPr>
            <w:r w:rsidRPr="00663419">
              <w:rPr>
                <w:rFonts w:ascii="Calibri" w:hAnsi="Calibri"/>
              </w:rPr>
              <w:t xml:space="preserve">Blood </w:t>
            </w:r>
            <w:r w:rsidR="003E017A" w:rsidRPr="00663419">
              <w:rPr>
                <w:rFonts w:ascii="Calibri" w:hAnsi="Calibri"/>
              </w:rPr>
              <w:t>D-dimer concentrations over time up to 24 hours after randomisation</w:t>
            </w:r>
          </w:p>
          <w:p w14:paraId="6FBBF351" w14:textId="77777777" w:rsidR="003E017A" w:rsidRPr="00663419" w:rsidRDefault="003E017A" w:rsidP="003E017A">
            <w:pPr>
              <w:spacing w:after="120" w:line="300" w:lineRule="exact"/>
              <w:rPr>
                <w:rFonts w:ascii="Calibri" w:hAnsi="Calibri"/>
              </w:rPr>
            </w:pPr>
            <w:r w:rsidRPr="00663419">
              <w:rPr>
                <w:rFonts w:ascii="Calibri" w:hAnsi="Calibri"/>
              </w:rPr>
              <w:t>Volume of blood lost from incision to 2 hours from CS</w:t>
            </w:r>
          </w:p>
          <w:p w14:paraId="18724BE9" w14:textId="77777777" w:rsidR="003E017A" w:rsidRPr="00663419" w:rsidRDefault="003E017A" w:rsidP="003E017A">
            <w:pPr>
              <w:spacing w:after="120" w:line="300" w:lineRule="exact"/>
              <w:rPr>
                <w:rFonts w:ascii="Calibri" w:hAnsi="Calibri" w:cstheme="minorHAnsi"/>
              </w:rPr>
            </w:pPr>
            <w:r w:rsidRPr="00663419">
              <w:rPr>
                <w:rFonts w:ascii="Calibri" w:hAnsi="Calibri" w:cstheme="minorHAnsi"/>
              </w:rPr>
              <w:t>Local reactions at injection site and adverse events up to 7 days</w:t>
            </w:r>
          </w:p>
          <w:p w14:paraId="73D6E941" w14:textId="77777777" w:rsidR="00E411C6" w:rsidRPr="00663419" w:rsidRDefault="00E411C6" w:rsidP="00E411C6">
            <w:pPr>
              <w:rPr>
                <w:rFonts w:ascii="Calibri" w:hAnsi="Calibri" w:cstheme="minorHAnsi"/>
                <w:lang w:eastAsia="en-GB"/>
              </w:rPr>
            </w:pPr>
            <w:r w:rsidRPr="00663419">
              <w:rPr>
                <w:rFonts w:ascii="Calibri" w:hAnsi="Calibri" w:cstheme="minorHAnsi"/>
                <w:lang w:eastAsia="en-GB"/>
              </w:rPr>
              <w:lastRenderedPageBreak/>
              <w:t>Neonate status Apgar score</w:t>
            </w:r>
          </w:p>
          <w:p w14:paraId="16BF6AFC" w14:textId="77777777" w:rsidR="00E411C6" w:rsidRPr="00663419" w:rsidRDefault="00E411C6" w:rsidP="00E411C6">
            <w:pPr>
              <w:rPr>
                <w:rFonts w:ascii="Calibri" w:hAnsi="Calibri" w:cstheme="minorHAnsi"/>
                <w:lang w:eastAsia="en-GB"/>
              </w:rPr>
            </w:pPr>
          </w:p>
          <w:p w14:paraId="48780F80" w14:textId="77777777" w:rsidR="003E017A" w:rsidRPr="00663419" w:rsidRDefault="003E017A" w:rsidP="003E017A">
            <w:r w:rsidRPr="00663419">
              <w:rPr>
                <w:rFonts w:ascii="Calibri" w:hAnsi="Calibri"/>
              </w:rPr>
              <w:t>Clinical diagnosis of PPH up to 24 hours after birth (total blood loss of &gt;1000 mL or any blood loss sufficient to cause haemodynamic instability or requires treatment)</w:t>
            </w:r>
          </w:p>
          <w:p w14:paraId="40F7860E" w14:textId="77777777" w:rsidR="002A2551" w:rsidRPr="00663419" w:rsidRDefault="002A2551" w:rsidP="007A2025"/>
        </w:tc>
      </w:tr>
      <w:tr w:rsidR="00613C2B" w:rsidRPr="00663419" w14:paraId="0CF56E25" w14:textId="77777777" w:rsidTr="47CD7726">
        <w:tc>
          <w:tcPr>
            <w:tcW w:w="562" w:type="dxa"/>
          </w:tcPr>
          <w:p w14:paraId="6071C58C" w14:textId="77777777" w:rsidR="00613C2B" w:rsidRPr="00663419" w:rsidRDefault="00FA4013" w:rsidP="00A71D9F">
            <w:r w:rsidRPr="00663419">
              <w:lastRenderedPageBreak/>
              <w:t>21</w:t>
            </w:r>
          </w:p>
        </w:tc>
        <w:tc>
          <w:tcPr>
            <w:tcW w:w="4395" w:type="dxa"/>
          </w:tcPr>
          <w:p w14:paraId="07B4694C" w14:textId="77777777" w:rsidR="00613C2B" w:rsidRPr="00663419" w:rsidRDefault="00613C2B" w:rsidP="00613C2B">
            <w:r w:rsidRPr="00663419">
              <w:t>Ethics Review</w:t>
            </w:r>
          </w:p>
        </w:tc>
        <w:tc>
          <w:tcPr>
            <w:tcW w:w="9213" w:type="dxa"/>
          </w:tcPr>
          <w:p w14:paraId="2F384F7E" w14:textId="77777777" w:rsidR="00613C2B" w:rsidRPr="00663419" w:rsidRDefault="00613C2B" w:rsidP="00613C2B">
            <w:r w:rsidRPr="00663419">
              <w:t>Status</w:t>
            </w:r>
            <w:r w:rsidR="00153E17" w:rsidRPr="00663419">
              <w:t>:</w:t>
            </w:r>
            <w:r w:rsidRPr="00663419">
              <w:t xml:space="preserve"> Approved</w:t>
            </w:r>
          </w:p>
          <w:p w14:paraId="1E4E682C" w14:textId="77777777" w:rsidR="00613C2B" w:rsidRPr="00663419" w:rsidRDefault="00613C2B" w:rsidP="00613C2B">
            <w:r w:rsidRPr="00663419">
              <w:t>Date of approval</w:t>
            </w:r>
            <w:r w:rsidR="005B700C" w:rsidRPr="00663419">
              <w:t>:</w:t>
            </w:r>
            <w:r w:rsidR="00273A47" w:rsidRPr="00663419">
              <w:t xml:space="preserve"> </w:t>
            </w:r>
            <w:r w:rsidR="000A5EB9" w:rsidRPr="00663419">
              <w:t>17 April 2020</w:t>
            </w:r>
          </w:p>
          <w:p w14:paraId="17EF9BDB" w14:textId="77777777" w:rsidR="007A2025" w:rsidRDefault="00613C2B" w:rsidP="007A2025">
            <w:pPr>
              <w:rPr>
                <w:rStyle w:val="Hyperlink"/>
              </w:rPr>
            </w:pPr>
            <w:r w:rsidRPr="00663419">
              <w:t>Name and contact details of Ethics committee(s)</w:t>
            </w:r>
            <w:r w:rsidR="005B700C" w:rsidRPr="00663419">
              <w:t>:</w:t>
            </w:r>
            <w:r w:rsidR="00273A47" w:rsidRPr="00663419">
              <w:t xml:space="preserve"> Professor </w:t>
            </w:r>
            <w:r w:rsidR="007A2025" w:rsidRPr="00663419">
              <w:t>Jimmy Whitworth</w:t>
            </w:r>
            <w:r w:rsidR="00273A47" w:rsidRPr="00663419">
              <w:t xml:space="preserve"> (Chair), Observational / Interventions Research Ethics Committee, London School of Hygiene &amp; Tropical Medicine, Keppel St, London EC1E 7HT.</w:t>
            </w:r>
            <w:r w:rsidR="002D3464" w:rsidRPr="00663419">
              <w:t xml:space="preserve"> </w:t>
            </w:r>
            <w:hyperlink r:id="rId12" w:history="1">
              <w:r w:rsidR="002D3464" w:rsidRPr="00663419">
                <w:rPr>
                  <w:rStyle w:val="Hyperlink"/>
                </w:rPr>
                <w:t>ethics@lshtm.ac.uk</w:t>
              </w:r>
            </w:hyperlink>
          </w:p>
          <w:p w14:paraId="139CCD53" w14:textId="77777777" w:rsidR="00F73CBF" w:rsidRDefault="00F5355D" w:rsidP="00F5355D">
            <w:pPr>
              <w:ind w:right="-43"/>
              <w:rPr>
                <w:rFonts w:cs="Calibri"/>
              </w:rPr>
            </w:pPr>
            <w:r w:rsidRPr="064F4B54">
              <w:rPr>
                <w:rFonts w:cs="Calibri"/>
              </w:rPr>
              <w:t xml:space="preserve">In addition, Ethics Committee (EC) and Regulatory Agencies approvals are in place at national level </w:t>
            </w:r>
            <w:r>
              <w:rPr>
                <w:rFonts w:cs="Calibri"/>
              </w:rPr>
              <w:t xml:space="preserve">and </w:t>
            </w:r>
            <w:r w:rsidRPr="064F4B54">
              <w:rPr>
                <w:rFonts w:cs="Calibri"/>
              </w:rPr>
              <w:t>at each participating site in Pakistan and Zambia. The approvals are included as part of our submission.</w:t>
            </w:r>
            <w:r>
              <w:rPr>
                <w:rFonts w:cs="Calibri"/>
              </w:rPr>
              <w:t xml:space="preserve"> </w:t>
            </w:r>
          </w:p>
          <w:p w14:paraId="13F4F5D9" w14:textId="1D7B05DE" w:rsidR="00F5355D" w:rsidRDefault="00F5355D" w:rsidP="00F5355D">
            <w:pPr>
              <w:ind w:right="-43"/>
              <w:rPr>
                <w:rFonts w:cs="Calibri"/>
              </w:rPr>
            </w:pPr>
            <w:r>
              <w:rPr>
                <w:rFonts w:cs="Calibri"/>
              </w:rPr>
              <w:t>The Committees and regulatory Authorities that have approved the trial are:</w:t>
            </w:r>
          </w:p>
          <w:p w14:paraId="1FE41B3B" w14:textId="6A021762" w:rsidR="00F5355D" w:rsidRPr="00F5355D" w:rsidRDefault="00F5355D" w:rsidP="00F5355D">
            <w:pPr>
              <w:ind w:right="-43"/>
              <w:rPr>
                <w:rFonts w:cs="Calibri"/>
              </w:rPr>
            </w:pPr>
            <w:r w:rsidRPr="00EC20AD">
              <w:rPr>
                <w:rFonts w:eastAsia="Cambria" w:cstheme="minorHAnsi"/>
                <w:lang w:eastAsia="ar-SA"/>
              </w:rPr>
              <w:t>University of Zambia Biomedical Research Ethics Committee (UNZABREC, Ref: 933-2020), Zambia Medicines Regulatory Authority (ZAMRA, Reference: DMS/7/9/22/CT/102),  Zambia National Health Research Authority (NHREB),  National Bioethics Committee Pakistan (NBC, Ref:4-87/NBC-532/20/409)</w:t>
            </w:r>
            <w:r>
              <w:rPr>
                <w:rFonts w:eastAsia="Cambria" w:cstheme="minorHAnsi"/>
                <w:lang w:eastAsia="ar-SA"/>
              </w:rPr>
              <w:t>, the</w:t>
            </w:r>
            <w:r w:rsidRPr="00EC20AD">
              <w:rPr>
                <w:rFonts w:eastAsia="Cambria" w:cstheme="minorHAnsi"/>
                <w:lang w:eastAsia="ar-SA"/>
              </w:rPr>
              <w:t xml:space="preserve"> Drug Regulatory Authority of Pakistan [DRAP, Reference: F. No. 16-16/2020 DD (PS)]</w:t>
            </w:r>
            <w:r>
              <w:rPr>
                <w:rFonts w:eastAsia="Cambria" w:cstheme="minorHAnsi"/>
                <w:lang w:eastAsia="ar-SA"/>
              </w:rPr>
              <w:t xml:space="preserve">, the Ethical Review Board of  </w:t>
            </w:r>
            <w:r w:rsidRPr="007B20F1">
              <w:rPr>
                <w:rFonts w:cstheme="minorHAnsi"/>
                <w:bCs/>
                <w:color w:val="000000"/>
              </w:rPr>
              <w:t>MCH Centre</w:t>
            </w:r>
            <w:r>
              <w:rPr>
                <w:rFonts w:cstheme="minorHAnsi"/>
                <w:bCs/>
                <w:color w:val="000000"/>
              </w:rPr>
              <w:t>-</w:t>
            </w:r>
            <w:r w:rsidRPr="007B20F1">
              <w:rPr>
                <w:rFonts w:cstheme="minorHAnsi"/>
                <w:bCs/>
                <w:color w:val="000000"/>
              </w:rPr>
              <w:t>Pakistan Institute of Medical Sciences</w:t>
            </w:r>
            <w:r>
              <w:rPr>
                <w:rFonts w:cstheme="minorHAnsi"/>
                <w:bCs/>
                <w:color w:val="000000"/>
              </w:rPr>
              <w:t xml:space="preserve"> Hospital (Reference: F1-1/2015/ERB/SZABMU/583) and the Ethics Committee of the Federal Government Polyclinic Hospital (Reference: FGPC.1/12/2020/Ethical Committee).</w:t>
            </w:r>
          </w:p>
        </w:tc>
      </w:tr>
      <w:tr w:rsidR="00613C2B" w:rsidRPr="00663419" w14:paraId="2BBFDE74" w14:textId="77777777" w:rsidTr="47CD7726">
        <w:tc>
          <w:tcPr>
            <w:tcW w:w="562" w:type="dxa"/>
          </w:tcPr>
          <w:p w14:paraId="3E8F2E66" w14:textId="77777777" w:rsidR="00613C2B" w:rsidRPr="00663419" w:rsidRDefault="00FA4013" w:rsidP="00A71D9F">
            <w:r w:rsidRPr="00663419">
              <w:t>22</w:t>
            </w:r>
          </w:p>
        </w:tc>
        <w:tc>
          <w:tcPr>
            <w:tcW w:w="4395" w:type="dxa"/>
          </w:tcPr>
          <w:p w14:paraId="15F3D84C" w14:textId="77777777" w:rsidR="00613C2B" w:rsidRPr="00663419" w:rsidRDefault="00613C2B" w:rsidP="00613C2B">
            <w:r w:rsidRPr="00663419">
              <w:t>Completion date</w:t>
            </w:r>
          </w:p>
          <w:p w14:paraId="46BD9BE6" w14:textId="77777777" w:rsidR="00613C2B" w:rsidRPr="00663419" w:rsidRDefault="00613C2B" w:rsidP="00613C2B"/>
        </w:tc>
        <w:tc>
          <w:tcPr>
            <w:tcW w:w="9213" w:type="dxa"/>
          </w:tcPr>
          <w:p w14:paraId="73129A8C" w14:textId="77777777" w:rsidR="00613C2B" w:rsidRPr="00663419" w:rsidRDefault="00D57F8D" w:rsidP="007A2025">
            <w:r w:rsidRPr="00663419">
              <w:rPr>
                <w:rFonts w:ascii="Calibri" w:hAnsi="Calibri"/>
              </w:rPr>
              <w:t>1 May 2021, or when 120 evaluable participants have been recruited.</w:t>
            </w:r>
          </w:p>
        </w:tc>
      </w:tr>
      <w:tr w:rsidR="00613C2B" w:rsidRPr="00663419" w14:paraId="37AA09D8" w14:textId="77777777" w:rsidTr="47CD7726">
        <w:tc>
          <w:tcPr>
            <w:tcW w:w="562" w:type="dxa"/>
          </w:tcPr>
          <w:p w14:paraId="7AC5C9B3" w14:textId="77777777" w:rsidR="00613C2B" w:rsidRPr="00663419" w:rsidRDefault="00FA4013" w:rsidP="00A71D9F">
            <w:r w:rsidRPr="00663419">
              <w:t>23</w:t>
            </w:r>
          </w:p>
        </w:tc>
        <w:tc>
          <w:tcPr>
            <w:tcW w:w="4395" w:type="dxa"/>
          </w:tcPr>
          <w:p w14:paraId="10D7D5C3" w14:textId="77777777" w:rsidR="00613C2B" w:rsidRPr="00663419" w:rsidRDefault="00613C2B" w:rsidP="00613C2B">
            <w:r w:rsidRPr="00663419">
              <w:t>Summary Results</w:t>
            </w:r>
          </w:p>
          <w:p w14:paraId="43304586" w14:textId="77777777" w:rsidR="00613C2B" w:rsidRPr="00663419" w:rsidRDefault="00613C2B" w:rsidP="00613C2B"/>
        </w:tc>
        <w:tc>
          <w:tcPr>
            <w:tcW w:w="9213" w:type="dxa"/>
          </w:tcPr>
          <w:p w14:paraId="2DE7FB8D" w14:textId="77777777" w:rsidR="00613C2B" w:rsidRPr="00663419" w:rsidRDefault="00D42C54" w:rsidP="00D42C54">
            <w:r w:rsidRPr="00663419">
              <w:t>n/a – trial in progress</w:t>
            </w:r>
          </w:p>
        </w:tc>
      </w:tr>
      <w:tr w:rsidR="00613C2B" w14:paraId="67E4440C" w14:textId="77777777" w:rsidTr="47CD7726">
        <w:tc>
          <w:tcPr>
            <w:tcW w:w="562" w:type="dxa"/>
          </w:tcPr>
          <w:p w14:paraId="11487119" w14:textId="77777777" w:rsidR="00613C2B" w:rsidRPr="00663419" w:rsidRDefault="00FA4013" w:rsidP="00A71D9F">
            <w:r w:rsidRPr="00663419">
              <w:t>24</w:t>
            </w:r>
          </w:p>
        </w:tc>
        <w:tc>
          <w:tcPr>
            <w:tcW w:w="4395" w:type="dxa"/>
          </w:tcPr>
          <w:p w14:paraId="23278674" w14:textId="77777777" w:rsidR="00613C2B" w:rsidRPr="00663419" w:rsidRDefault="00613C2B" w:rsidP="00613C2B">
            <w:r w:rsidRPr="00663419">
              <w:t>IPD sharing statement</w:t>
            </w:r>
          </w:p>
        </w:tc>
        <w:tc>
          <w:tcPr>
            <w:tcW w:w="9213" w:type="dxa"/>
          </w:tcPr>
          <w:p w14:paraId="3E5DD6B9" w14:textId="77777777" w:rsidR="00D42C54" w:rsidRPr="00663419" w:rsidRDefault="00613C2B" w:rsidP="00613C2B">
            <w:r w:rsidRPr="00663419">
              <w:t>Plan to share IPD</w:t>
            </w:r>
            <w:r w:rsidR="00D42C54" w:rsidRPr="00663419">
              <w:t xml:space="preserve">: </w:t>
            </w:r>
            <w:r w:rsidRPr="00663419">
              <w:t>Yes</w:t>
            </w:r>
          </w:p>
          <w:p w14:paraId="31035518" w14:textId="77777777" w:rsidR="00613C2B" w:rsidRDefault="00613C2B" w:rsidP="00C44020">
            <w:r w:rsidRPr="00663419">
              <w:t>Plan description</w:t>
            </w:r>
            <w:r w:rsidR="00D42C54" w:rsidRPr="00663419">
              <w:t>:</w:t>
            </w:r>
            <w:r w:rsidR="00C44020" w:rsidRPr="00663419">
              <w:t xml:space="preserve"> The LSHTM CTU is committed to sharing its clinical study data for additional, ethical research with justified scientific objectives. Until all planned analyses are completed by the LSHTM CTU, data will be shared through a controlled access approach whereby researchers can make formal applications for data sharing.  Afterwards, totally anonymised data will be shared via the LSHTM CTU data sharing platform at freebird.lshtm.ac.uk.</w:t>
            </w:r>
          </w:p>
        </w:tc>
      </w:tr>
    </w:tbl>
    <w:p w14:paraId="718C1BC8" w14:textId="140B4325" w:rsidR="00A71D9F" w:rsidRDefault="00A71D9F" w:rsidP="00A71D9F"/>
    <w:sectPr w:rsidR="00A71D9F" w:rsidSect="000B5AF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33F03"/>
    <w:multiLevelType w:val="hybridMultilevel"/>
    <w:tmpl w:val="7762910E"/>
    <w:lvl w:ilvl="0" w:tplc="08090001">
      <w:start w:val="1"/>
      <w:numFmt w:val="bullet"/>
      <w:lvlText w:val=""/>
      <w:lvlJc w:val="left"/>
      <w:pPr>
        <w:tabs>
          <w:tab w:val="num" w:pos="530"/>
        </w:tabs>
        <w:ind w:left="530" w:hanging="360"/>
      </w:pPr>
      <w:rPr>
        <w:rFonts w:ascii="Symbol" w:hAnsi="Symbol" w:hint="default"/>
      </w:rPr>
    </w:lvl>
    <w:lvl w:ilvl="1" w:tplc="520E7E3C" w:tentative="1">
      <w:start w:val="1"/>
      <w:numFmt w:val="bullet"/>
      <w:lvlText w:val="•"/>
      <w:lvlJc w:val="left"/>
      <w:pPr>
        <w:tabs>
          <w:tab w:val="num" w:pos="1250"/>
        </w:tabs>
        <w:ind w:left="1250" w:hanging="360"/>
      </w:pPr>
      <w:rPr>
        <w:rFonts w:ascii="Arial" w:hAnsi="Arial" w:hint="default"/>
      </w:rPr>
    </w:lvl>
    <w:lvl w:ilvl="2" w:tplc="5966FF94" w:tentative="1">
      <w:start w:val="1"/>
      <w:numFmt w:val="bullet"/>
      <w:lvlText w:val="•"/>
      <w:lvlJc w:val="left"/>
      <w:pPr>
        <w:tabs>
          <w:tab w:val="num" w:pos="1970"/>
        </w:tabs>
        <w:ind w:left="1970" w:hanging="360"/>
      </w:pPr>
      <w:rPr>
        <w:rFonts w:ascii="Arial" w:hAnsi="Arial" w:hint="default"/>
      </w:rPr>
    </w:lvl>
    <w:lvl w:ilvl="3" w:tplc="6C127B44" w:tentative="1">
      <w:start w:val="1"/>
      <w:numFmt w:val="bullet"/>
      <w:lvlText w:val="•"/>
      <w:lvlJc w:val="left"/>
      <w:pPr>
        <w:tabs>
          <w:tab w:val="num" w:pos="2690"/>
        </w:tabs>
        <w:ind w:left="2690" w:hanging="360"/>
      </w:pPr>
      <w:rPr>
        <w:rFonts w:ascii="Arial" w:hAnsi="Arial" w:hint="default"/>
      </w:rPr>
    </w:lvl>
    <w:lvl w:ilvl="4" w:tplc="6BCE5AE6" w:tentative="1">
      <w:start w:val="1"/>
      <w:numFmt w:val="bullet"/>
      <w:lvlText w:val="•"/>
      <w:lvlJc w:val="left"/>
      <w:pPr>
        <w:tabs>
          <w:tab w:val="num" w:pos="3410"/>
        </w:tabs>
        <w:ind w:left="3410" w:hanging="360"/>
      </w:pPr>
      <w:rPr>
        <w:rFonts w:ascii="Arial" w:hAnsi="Arial" w:hint="default"/>
      </w:rPr>
    </w:lvl>
    <w:lvl w:ilvl="5" w:tplc="92B0DF22" w:tentative="1">
      <w:start w:val="1"/>
      <w:numFmt w:val="bullet"/>
      <w:lvlText w:val="•"/>
      <w:lvlJc w:val="left"/>
      <w:pPr>
        <w:tabs>
          <w:tab w:val="num" w:pos="4130"/>
        </w:tabs>
        <w:ind w:left="4130" w:hanging="360"/>
      </w:pPr>
      <w:rPr>
        <w:rFonts w:ascii="Arial" w:hAnsi="Arial" w:hint="default"/>
      </w:rPr>
    </w:lvl>
    <w:lvl w:ilvl="6" w:tplc="E0AE096A" w:tentative="1">
      <w:start w:val="1"/>
      <w:numFmt w:val="bullet"/>
      <w:lvlText w:val="•"/>
      <w:lvlJc w:val="left"/>
      <w:pPr>
        <w:tabs>
          <w:tab w:val="num" w:pos="4850"/>
        </w:tabs>
        <w:ind w:left="4850" w:hanging="360"/>
      </w:pPr>
      <w:rPr>
        <w:rFonts w:ascii="Arial" w:hAnsi="Arial" w:hint="default"/>
      </w:rPr>
    </w:lvl>
    <w:lvl w:ilvl="7" w:tplc="7CA2D196" w:tentative="1">
      <w:start w:val="1"/>
      <w:numFmt w:val="bullet"/>
      <w:lvlText w:val="•"/>
      <w:lvlJc w:val="left"/>
      <w:pPr>
        <w:tabs>
          <w:tab w:val="num" w:pos="5570"/>
        </w:tabs>
        <w:ind w:left="5570" w:hanging="360"/>
      </w:pPr>
      <w:rPr>
        <w:rFonts w:ascii="Arial" w:hAnsi="Arial" w:hint="default"/>
      </w:rPr>
    </w:lvl>
    <w:lvl w:ilvl="8" w:tplc="EE40D0E2" w:tentative="1">
      <w:start w:val="1"/>
      <w:numFmt w:val="bullet"/>
      <w:lvlText w:val="•"/>
      <w:lvlJc w:val="left"/>
      <w:pPr>
        <w:tabs>
          <w:tab w:val="num" w:pos="6290"/>
        </w:tabs>
        <w:ind w:left="6290" w:hanging="360"/>
      </w:pPr>
      <w:rPr>
        <w:rFonts w:ascii="Arial" w:hAnsi="Arial" w:hint="default"/>
      </w:rPr>
    </w:lvl>
  </w:abstractNum>
  <w:abstractNum w:abstractNumId="1" w15:restartNumberingAfterBreak="0">
    <w:nsid w:val="489B304F"/>
    <w:multiLevelType w:val="hybridMultilevel"/>
    <w:tmpl w:val="51B4C0BA"/>
    <w:lvl w:ilvl="0" w:tplc="DAA80E6A">
      <w:numFmt w:val="bullet"/>
      <w:lvlText w:val="•"/>
      <w:lvlJc w:val="left"/>
      <w:pPr>
        <w:ind w:left="722" w:hanging="495"/>
      </w:pPr>
      <w:rPr>
        <w:rFonts w:ascii="Calibri" w:eastAsiaTheme="minorEastAsia" w:hAnsi="Calibri" w:cs="Calibri"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 w15:restartNumberingAfterBreak="0">
    <w:nsid w:val="4BFD64A6"/>
    <w:multiLevelType w:val="hybridMultilevel"/>
    <w:tmpl w:val="18EA4116"/>
    <w:lvl w:ilvl="0" w:tplc="0809000F">
      <w:start w:val="1"/>
      <w:numFmt w:val="decimal"/>
      <w:lvlText w:val="%1."/>
      <w:lvlJc w:val="left"/>
      <w:pPr>
        <w:ind w:left="7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F573B4"/>
    <w:multiLevelType w:val="hybridMultilevel"/>
    <w:tmpl w:val="45B217B4"/>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9F"/>
    <w:rsid w:val="00016F55"/>
    <w:rsid w:val="00045EF9"/>
    <w:rsid w:val="000572D2"/>
    <w:rsid w:val="000A5EB9"/>
    <w:rsid w:val="000B0FDF"/>
    <w:rsid w:val="000B5AF3"/>
    <w:rsid w:val="000E74B8"/>
    <w:rsid w:val="00153E17"/>
    <w:rsid w:val="00154873"/>
    <w:rsid w:val="00185FAC"/>
    <w:rsid w:val="001905E5"/>
    <w:rsid w:val="001C414C"/>
    <w:rsid w:val="001F50F3"/>
    <w:rsid w:val="00223CAB"/>
    <w:rsid w:val="00273A47"/>
    <w:rsid w:val="00274211"/>
    <w:rsid w:val="002A2551"/>
    <w:rsid w:val="002A2E5D"/>
    <w:rsid w:val="002A4815"/>
    <w:rsid w:val="002D3464"/>
    <w:rsid w:val="0031243E"/>
    <w:rsid w:val="00346663"/>
    <w:rsid w:val="00396A25"/>
    <w:rsid w:val="003E017A"/>
    <w:rsid w:val="003E5806"/>
    <w:rsid w:val="004562E2"/>
    <w:rsid w:val="00473CE5"/>
    <w:rsid w:val="00475F43"/>
    <w:rsid w:val="004A3086"/>
    <w:rsid w:val="004E33B2"/>
    <w:rsid w:val="00514398"/>
    <w:rsid w:val="00552920"/>
    <w:rsid w:val="00594689"/>
    <w:rsid w:val="005B700C"/>
    <w:rsid w:val="005E1AFC"/>
    <w:rsid w:val="006136F9"/>
    <w:rsid w:val="00613C2B"/>
    <w:rsid w:val="00613FCE"/>
    <w:rsid w:val="006206E0"/>
    <w:rsid w:val="00663419"/>
    <w:rsid w:val="0069046E"/>
    <w:rsid w:val="006F2167"/>
    <w:rsid w:val="006F51D6"/>
    <w:rsid w:val="006F7351"/>
    <w:rsid w:val="00724371"/>
    <w:rsid w:val="00733F74"/>
    <w:rsid w:val="007363F7"/>
    <w:rsid w:val="00753DBF"/>
    <w:rsid w:val="007A086A"/>
    <w:rsid w:val="007A2025"/>
    <w:rsid w:val="007C4722"/>
    <w:rsid w:val="00845232"/>
    <w:rsid w:val="00854FA6"/>
    <w:rsid w:val="008D23A3"/>
    <w:rsid w:val="0090455D"/>
    <w:rsid w:val="009125E5"/>
    <w:rsid w:val="00934283"/>
    <w:rsid w:val="009406CF"/>
    <w:rsid w:val="00A207C9"/>
    <w:rsid w:val="00A71D9F"/>
    <w:rsid w:val="00A830A8"/>
    <w:rsid w:val="00AE7FE1"/>
    <w:rsid w:val="00B96DB1"/>
    <w:rsid w:val="00BE1893"/>
    <w:rsid w:val="00C142F2"/>
    <w:rsid w:val="00C343EE"/>
    <w:rsid w:val="00C44020"/>
    <w:rsid w:val="00CC5C6C"/>
    <w:rsid w:val="00CE03E0"/>
    <w:rsid w:val="00CE15E4"/>
    <w:rsid w:val="00D11B79"/>
    <w:rsid w:val="00D42C54"/>
    <w:rsid w:val="00D5395D"/>
    <w:rsid w:val="00D57F8D"/>
    <w:rsid w:val="00D616B9"/>
    <w:rsid w:val="00D64953"/>
    <w:rsid w:val="00DA7B25"/>
    <w:rsid w:val="00DE04B9"/>
    <w:rsid w:val="00DE3BBE"/>
    <w:rsid w:val="00E149BB"/>
    <w:rsid w:val="00E2460B"/>
    <w:rsid w:val="00E411C6"/>
    <w:rsid w:val="00E50F4B"/>
    <w:rsid w:val="00EB0288"/>
    <w:rsid w:val="00EB084D"/>
    <w:rsid w:val="00EB15C8"/>
    <w:rsid w:val="00F5355D"/>
    <w:rsid w:val="00F73CBF"/>
    <w:rsid w:val="00F82C20"/>
    <w:rsid w:val="00F87E77"/>
    <w:rsid w:val="00FA4013"/>
    <w:rsid w:val="00FD6320"/>
    <w:rsid w:val="12F5FF82"/>
    <w:rsid w:val="15442CC2"/>
    <w:rsid w:val="47CD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693C"/>
  <w15:chartTrackingRefBased/>
  <w15:docId w15:val="{085011B1-32E9-4E2E-BC76-0DBF8FDF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lextitleprimary">
    <w:name w:val="complextitle_primary"/>
    <w:basedOn w:val="DefaultParagraphFont"/>
    <w:rsid w:val="00552920"/>
  </w:style>
  <w:style w:type="paragraph" w:customStyle="1" w:styleId="Default">
    <w:name w:val="Default"/>
    <w:rsid w:val="00A830A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F51D6"/>
    <w:rPr>
      <w:color w:val="0000FF"/>
      <w:u w:val="single"/>
    </w:rPr>
  </w:style>
  <w:style w:type="character" w:customStyle="1" w:styleId="UnresolvedMention1">
    <w:name w:val="Unresolved Mention1"/>
    <w:basedOn w:val="DefaultParagraphFont"/>
    <w:uiPriority w:val="99"/>
    <w:semiHidden/>
    <w:unhideWhenUsed/>
    <w:rsid w:val="00D57F8D"/>
    <w:rPr>
      <w:color w:val="605E5C"/>
      <w:shd w:val="clear" w:color="auto" w:fill="E1DFDD"/>
    </w:rPr>
  </w:style>
  <w:style w:type="paragraph" w:styleId="ListParagraph">
    <w:name w:val="List Paragraph"/>
    <w:basedOn w:val="Normal"/>
    <w:uiPriority w:val="34"/>
    <w:qFormat/>
    <w:rsid w:val="002A2E5D"/>
    <w:pPr>
      <w:spacing w:after="200" w:line="276" w:lineRule="auto"/>
      <w:ind w:left="720"/>
      <w:contextualSpacing/>
      <w:jc w:val="both"/>
    </w:pPr>
  </w:style>
  <w:style w:type="character" w:styleId="CommentReference">
    <w:name w:val="annotation reference"/>
    <w:basedOn w:val="DefaultParagraphFont"/>
    <w:uiPriority w:val="99"/>
    <w:semiHidden/>
    <w:unhideWhenUsed/>
    <w:rsid w:val="00D64953"/>
    <w:rPr>
      <w:sz w:val="16"/>
      <w:szCs w:val="16"/>
    </w:rPr>
  </w:style>
  <w:style w:type="paragraph" w:styleId="CommentText">
    <w:name w:val="annotation text"/>
    <w:basedOn w:val="Normal"/>
    <w:link w:val="CommentTextChar"/>
    <w:uiPriority w:val="99"/>
    <w:semiHidden/>
    <w:unhideWhenUsed/>
    <w:rsid w:val="00D64953"/>
    <w:pPr>
      <w:spacing w:line="240" w:lineRule="auto"/>
    </w:pPr>
    <w:rPr>
      <w:sz w:val="20"/>
      <w:szCs w:val="20"/>
    </w:rPr>
  </w:style>
  <w:style w:type="character" w:customStyle="1" w:styleId="CommentTextChar">
    <w:name w:val="Comment Text Char"/>
    <w:basedOn w:val="DefaultParagraphFont"/>
    <w:link w:val="CommentText"/>
    <w:uiPriority w:val="99"/>
    <w:semiHidden/>
    <w:rsid w:val="00D64953"/>
    <w:rPr>
      <w:sz w:val="20"/>
      <w:szCs w:val="20"/>
    </w:rPr>
  </w:style>
  <w:style w:type="paragraph" w:styleId="CommentSubject">
    <w:name w:val="annotation subject"/>
    <w:basedOn w:val="CommentText"/>
    <w:next w:val="CommentText"/>
    <w:link w:val="CommentSubjectChar"/>
    <w:uiPriority w:val="99"/>
    <w:semiHidden/>
    <w:unhideWhenUsed/>
    <w:rsid w:val="00D64953"/>
    <w:rPr>
      <w:b/>
      <w:bCs/>
    </w:rPr>
  </w:style>
  <w:style w:type="character" w:customStyle="1" w:styleId="CommentSubjectChar">
    <w:name w:val="Comment Subject Char"/>
    <w:basedOn w:val="CommentTextChar"/>
    <w:link w:val="CommentSubject"/>
    <w:uiPriority w:val="99"/>
    <w:semiHidden/>
    <w:rsid w:val="00D64953"/>
    <w:rPr>
      <w:b/>
      <w:bCs/>
      <w:sz w:val="20"/>
      <w:szCs w:val="20"/>
    </w:rPr>
  </w:style>
  <w:style w:type="paragraph" w:styleId="BalloonText">
    <w:name w:val="Balloon Text"/>
    <w:basedOn w:val="Normal"/>
    <w:link w:val="BalloonTextChar"/>
    <w:uiPriority w:val="99"/>
    <w:semiHidden/>
    <w:unhideWhenUsed/>
    <w:rsid w:val="00D64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12015">
      <w:bodyDiv w:val="1"/>
      <w:marLeft w:val="0"/>
      <w:marRight w:val="0"/>
      <w:marTop w:val="0"/>
      <w:marBottom w:val="0"/>
      <w:divBdr>
        <w:top w:val="none" w:sz="0" w:space="0" w:color="auto"/>
        <w:left w:val="none" w:sz="0" w:space="0" w:color="auto"/>
        <w:bottom w:val="none" w:sz="0" w:space="0" w:color="auto"/>
        <w:right w:val="none" w:sz="0" w:space="0" w:color="auto"/>
      </w:divBdr>
    </w:div>
    <w:div w:id="1729956837">
      <w:bodyDiv w:val="1"/>
      <w:marLeft w:val="0"/>
      <w:marRight w:val="0"/>
      <w:marTop w:val="0"/>
      <w:marBottom w:val="0"/>
      <w:divBdr>
        <w:top w:val="none" w:sz="0" w:space="0" w:color="auto"/>
        <w:left w:val="none" w:sz="0" w:space="0" w:color="auto"/>
        <w:bottom w:val="none" w:sz="0" w:space="0" w:color="auto"/>
        <w:right w:val="none" w:sz="0" w:space="0" w:color="auto"/>
      </w:divBdr>
    </w:div>
    <w:div w:id="1868907641">
      <w:bodyDiv w:val="1"/>
      <w:marLeft w:val="0"/>
      <w:marRight w:val="0"/>
      <w:marTop w:val="0"/>
      <w:marBottom w:val="0"/>
      <w:divBdr>
        <w:top w:val="none" w:sz="0" w:space="0" w:color="auto"/>
        <w:left w:val="none" w:sz="0" w:space="0" w:color="auto"/>
        <w:bottom w:val="none" w:sz="0" w:space="0" w:color="auto"/>
        <w:right w:val="none" w:sz="0" w:space="0" w:color="auto"/>
      </w:divBdr>
    </w:div>
    <w:div w:id="18796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thics@lsht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Womanptxa@Lshtm.ac.uk" TargetMode="External"/><Relationship Id="rId5" Type="http://schemas.openxmlformats.org/officeDocument/2006/relationships/customXml" Target="../customXml/item5.xml"/><Relationship Id="rId10" Type="http://schemas.openxmlformats.org/officeDocument/2006/relationships/hyperlink" Target="mailto:womanptxa@Lshtm.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207403b-203c-4ed3-95cd-88a852189123"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_dlc_DocId xmlns="0dc10192-4adf-4d7e-957c-ab780187498a">XVSCMUDW3Z5C-960520743-10386</_dlc_DocId>
    <_dlc_DocIdUrl xmlns="0dc10192-4adf-4d7e-957c-ab780187498a">
      <Url>https://lshtm.sharepoint.com/sites/CTU/Woman-PharmacoTXA/_layouts/15/DocIdRedir.aspx?ID=XVSCMUDW3Z5C-960520743-10386</Url>
      <Description>XVSCMUDW3Z5C-960520743-10386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44463F5B7006449A5340E33BD0C371" ma:contentTypeVersion="12" ma:contentTypeDescription="Create a new document." ma:contentTypeScope="" ma:versionID="bbbf713b1190d166a0d432832b86897c">
  <xsd:schema xmlns:xsd="http://www.w3.org/2001/XMLSchema" xmlns:xs="http://www.w3.org/2001/XMLSchema" xmlns:p="http://schemas.microsoft.com/office/2006/metadata/properties" xmlns:ns2="6a164dda-3779-4169-b957-e287451f6523" xmlns:ns3="0dc10192-4adf-4d7e-957c-ab780187498a" xmlns:ns4="16c0eaa0-9158-4597-9654-8bbeeeeacc2d" targetNamespace="http://schemas.microsoft.com/office/2006/metadata/properties" ma:root="true" ma:fieldsID="b219650a05cec7bf4589ead0fd49a82d" ns2:_="" ns3:_="" ns4:_="">
    <xsd:import namespace="6a164dda-3779-4169-b957-e287451f6523"/>
    <xsd:import namespace="0dc10192-4adf-4d7e-957c-ab780187498a"/>
    <xsd:import namespace="16c0eaa0-9158-4597-9654-8bbeeeeacc2d"/>
    <xsd:element name="properties">
      <xsd:complexType>
        <xsd:sequence>
          <xsd:element name="documentManagement">
            <xsd:complexType>
              <xsd:all>
                <xsd:element ref="ns2:Visibility"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0dc10192-4adf-4d7e-957c-ab78018749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0eaa0-9158-4597-9654-8bbeeeeacc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FE09B7-7BF0-4F3A-A3F0-F7E86E9B3A18}">
  <ds:schemaRefs>
    <ds:schemaRef ds:uri="Microsoft.SharePoint.Taxonomy.ContentTypeSync"/>
  </ds:schemaRefs>
</ds:datastoreItem>
</file>

<file path=customXml/itemProps2.xml><?xml version="1.0" encoding="utf-8"?>
<ds:datastoreItem xmlns:ds="http://schemas.openxmlformats.org/officeDocument/2006/customXml" ds:itemID="{AB4C6BBF-8332-4C45-9883-BECCFC179159}">
  <ds:schemaRefs>
    <ds:schemaRef ds:uri="http://schemas.microsoft.com/sharepoint/v3/contenttype/forms"/>
  </ds:schemaRefs>
</ds:datastoreItem>
</file>

<file path=customXml/itemProps3.xml><?xml version="1.0" encoding="utf-8"?>
<ds:datastoreItem xmlns:ds="http://schemas.openxmlformats.org/officeDocument/2006/customXml" ds:itemID="{6D2527CA-E2D6-430A-9B89-B5C8E45F62E5}">
  <ds:schemaRefs>
    <ds:schemaRef ds:uri="http://schemas.microsoft.com/office/2006/metadata/properties"/>
    <ds:schemaRef ds:uri="http://schemas.microsoft.com/office/infopath/2007/PartnerControls"/>
    <ds:schemaRef ds:uri="6a164dda-3779-4169-b957-e287451f6523"/>
    <ds:schemaRef ds:uri="0dc10192-4adf-4d7e-957c-ab780187498a"/>
  </ds:schemaRefs>
</ds:datastoreItem>
</file>

<file path=customXml/itemProps4.xml><?xml version="1.0" encoding="utf-8"?>
<ds:datastoreItem xmlns:ds="http://schemas.openxmlformats.org/officeDocument/2006/customXml" ds:itemID="{DF35B55D-9003-48A0-983A-1AF58C360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0dc10192-4adf-4d7e-957c-ab780187498a"/>
    <ds:schemaRef ds:uri="16c0eaa0-9158-4597-9654-8bbeeeeac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DA2B93-914F-4AFB-A776-1431644EB1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Ker</dc:creator>
  <cp:keywords/>
  <dc:description/>
  <cp:lastModifiedBy>Gareth Knight</cp:lastModifiedBy>
  <cp:revision>4</cp:revision>
  <dcterms:created xsi:type="dcterms:W3CDTF">2021-05-21T12:19:00Z</dcterms:created>
  <dcterms:modified xsi:type="dcterms:W3CDTF">2021-05-25T08:58:00Z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0x0101005544463F5B7006449A5340E33BD0C371</vt:lpwstr>
  </property>
  <property fmtid="{D5CDD505-2E9C-101B-9397-08002B2CF9AE}" pid="3" name="_dlc_DocIdItemGuid">
    <vt:lpwstr>4bbb84f1-14f3-475f-bc0a-a5e0dfeaac98</vt:lpwstr>
  </property>
</Properties>
</file>