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789" w:rsidRPr="00E54789" w:rsidRDefault="00E54789" w:rsidP="00E54789">
      <w:pPr>
        <w:ind w:firstLine="720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54789">
        <w:rPr>
          <w:rFonts w:ascii="Times New Roman" w:eastAsia="Calibri" w:hAnsi="Times New Roman" w:cs="Times New Roman"/>
          <w:sz w:val="24"/>
          <w:szCs w:val="24"/>
          <w:lang w:val="en-GB"/>
        </w:rPr>
        <w:t>Table 8s. Association between serum ferritin and cognitive outcomes</w:t>
      </w:r>
    </w:p>
    <w:tbl>
      <w:tblPr>
        <w:tblW w:w="7147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1131"/>
        <w:gridCol w:w="1880"/>
        <w:gridCol w:w="1128"/>
      </w:tblGrid>
      <w:tr w:rsidR="00E54789" w:rsidRPr="00E54789" w:rsidTr="00E54789">
        <w:trPr>
          <w:trHeight w:val="213"/>
        </w:trPr>
        <w:tc>
          <w:tcPr>
            <w:tcW w:w="3008" w:type="dxa"/>
            <w:shd w:val="clear" w:color="auto" w:fill="E7E6E6"/>
            <w:hideMark/>
          </w:tcPr>
          <w:p w:rsidR="00E54789" w:rsidRPr="00E54789" w:rsidRDefault="00E54789" w:rsidP="00E54789">
            <w:pPr>
              <w:spacing w:line="276" w:lineRule="auto"/>
              <w:ind w:left="3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Test</w:t>
            </w:r>
          </w:p>
        </w:tc>
        <w:tc>
          <w:tcPr>
            <w:tcW w:w="1131" w:type="dxa"/>
            <w:shd w:val="clear" w:color="auto" w:fill="E7E6E6"/>
            <w:hideMark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47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Coef</w:t>
            </w:r>
            <w:proofErr w:type="spellEnd"/>
          </w:p>
        </w:tc>
        <w:tc>
          <w:tcPr>
            <w:tcW w:w="1880" w:type="dxa"/>
            <w:shd w:val="clear" w:color="auto" w:fill="E7E6E6"/>
            <w:hideMark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1128" w:type="dxa"/>
            <w:shd w:val="clear" w:color="auto" w:fill="E7E6E6"/>
            <w:hideMark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E54789" w:rsidRPr="00E54789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Picture Search</w:t>
            </w:r>
          </w:p>
        </w:tc>
        <w:tc>
          <w:tcPr>
            <w:tcW w:w="1131" w:type="dxa"/>
            <w:shd w:val="clear" w:color="auto" w:fill="auto"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sz w:val="24"/>
                <w:szCs w:val="24"/>
              </w:rPr>
              <w:t>-0.16</w:t>
            </w:r>
          </w:p>
        </w:tc>
        <w:tc>
          <w:tcPr>
            <w:tcW w:w="1880" w:type="dxa"/>
            <w:shd w:val="clear" w:color="auto" w:fill="auto"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sz w:val="24"/>
                <w:szCs w:val="24"/>
              </w:rPr>
              <w:t>-0.43, 0.10</w:t>
            </w:r>
          </w:p>
        </w:tc>
        <w:tc>
          <w:tcPr>
            <w:tcW w:w="1128" w:type="dxa"/>
            <w:shd w:val="clear" w:color="auto" w:fill="auto"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sz w:val="24"/>
                <w:szCs w:val="24"/>
              </w:rPr>
              <w:t>0.23</w:t>
            </w:r>
          </w:p>
        </w:tc>
      </w:tr>
      <w:tr w:rsidR="00E54789" w:rsidRPr="00E54789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Card Sort Test</w:t>
            </w:r>
          </w:p>
        </w:tc>
        <w:tc>
          <w:tcPr>
            <w:tcW w:w="1131" w:type="dxa"/>
            <w:shd w:val="clear" w:color="auto" w:fill="auto"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880" w:type="dxa"/>
            <w:shd w:val="clear" w:color="auto" w:fill="auto"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sz w:val="24"/>
                <w:szCs w:val="24"/>
              </w:rPr>
              <w:t>-0.08, 0.42</w:t>
            </w:r>
          </w:p>
        </w:tc>
        <w:tc>
          <w:tcPr>
            <w:tcW w:w="1128" w:type="dxa"/>
            <w:shd w:val="clear" w:color="auto" w:fill="auto"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sz w:val="24"/>
                <w:szCs w:val="24"/>
              </w:rPr>
              <w:t>0.19</w:t>
            </w:r>
          </w:p>
        </w:tc>
      </w:tr>
      <w:tr w:rsidR="00E54789" w:rsidRPr="00E54789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Counting Span</w:t>
            </w:r>
          </w:p>
        </w:tc>
        <w:tc>
          <w:tcPr>
            <w:tcW w:w="1131" w:type="dxa"/>
            <w:shd w:val="clear" w:color="auto" w:fill="auto"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880" w:type="dxa"/>
            <w:shd w:val="clear" w:color="auto" w:fill="auto"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sz w:val="24"/>
                <w:szCs w:val="24"/>
              </w:rPr>
              <w:t>-0.15, 0.27</w:t>
            </w:r>
          </w:p>
        </w:tc>
        <w:tc>
          <w:tcPr>
            <w:tcW w:w="1128" w:type="dxa"/>
            <w:shd w:val="clear" w:color="auto" w:fill="auto"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sz w:val="24"/>
                <w:szCs w:val="24"/>
              </w:rPr>
              <w:t>0.56</w:t>
            </w:r>
          </w:p>
        </w:tc>
      </w:tr>
      <w:tr w:rsidR="00E54789" w:rsidRPr="00E54789" w:rsidTr="00E0416E">
        <w:trPr>
          <w:trHeight w:val="203"/>
        </w:trPr>
        <w:tc>
          <w:tcPr>
            <w:tcW w:w="3008" w:type="dxa"/>
            <w:shd w:val="clear" w:color="auto" w:fill="FFFFFF"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Digit Span Backwards</w:t>
            </w:r>
          </w:p>
        </w:tc>
        <w:tc>
          <w:tcPr>
            <w:tcW w:w="1131" w:type="dxa"/>
            <w:shd w:val="clear" w:color="auto" w:fill="auto"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880" w:type="dxa"/>
            <w:shd w:val="clear" w:color="auto" w:fill="auto"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sz w:val="24"/>
                <w:szCs w:val="24"/>
              </w:rPr>
              <w:t>-0.12, 0.38</w:t>
            </w:r>
          </w:p>
        </w:tc>
        <w:tc>
          <w:tcPr>
            <w:tcW w:w="1128" w:type="dxa"/>
            <w:shd w:val="clear" w:color="auto" w:fill="auto"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sz w:val="24"/>
                <w:szCs w:val="24"/>
              </w:rPr>
              <w:t>0.32</w:t>
            </w:r>
          </w:p>
        </w:tc>
      </w:tr>
      <w:tr w:rsidR="00E54789" w:rsidRPr="00E54789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Delay Inhibition Task</w:t>
            </w:r>
          </w:p>
        </w:tc>
        <w:tc>
          <w:tcPr>
            <w:tcW w:w="1131" w:type="dxa"/>
            <w:shd w:val="clear" w:color="auto" w:fill="auto"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880" w:type="dxa"/>
            <w:shd w:val="clear" w:color="auto" w:fill="auto"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sz w:val="24"/>
                <w:szCs w:val="24"/>
              </w:rPr>
              <w:t>-0.24, 0.65</w:t>
            </w:r>
          </w:p>
        </w:tc>
        <w:tc>
          <w:tcPr>
            <w:tcW w:w="1128" w:type="dxa"/>
            <w:shd w:val="clear" w:color="auto" w:fill="auto"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sz w:val="24"/>
                <w:szCs w:val="24"/>
              </w:rPr>
              <w:t>0.35</w:t>
            </w:r>
          </w:p>
        </w:tc>
      </w:tr>
      <w:tr w:rsidR="00E54789" w:rsidRPr="00E54789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Tower of London</w:t>
            </w:r>
          </w:p>
        </w:tc>
        <w:tc>
          <w:tcPr>
            <w:tcW w:w="1131" w:type="dxa"/>
            <w:shd w:val="clear" w:color="auto" w:fill="auto"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880" w:type="dxa"/>
            <w:shd w:val="clear" w:color="auto" w:fill="auto"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sz w:val="24"/>
                <w:szCs w:val="24"/>
              </w:rPr>
              <w:t>-0.15, 0.63</w:t>
            </w:r>
          </w:p>
        </w:tc>
        <w:tc>
          <w:tcPr>
            <w:tcW w:w="1128" w:type="dxa"/>
            <w:shd w:val="clear" w:color="auto" w:fill="auto"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sz w:val="24"/>
                <w:szCs w:val="24"/>
              </w:rPr>
              <w:t>0.22</w:t>
            </w:r>
          </w:p>
        </w:tc>
      </w:tr>
      <w:tr w:rsidR="00E54789" w:rsidRPr="00E54789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Information Scale</w:t>
            </w:r>
          </w:p>
        </w:tc>
        <w:tc>
          <w:tcPr>
            <w:tcW w:w="1131" w:type="dxa"/>
            <w:shd w:val="clear" w:color="auto" w:fill="auto"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1880" w:type="dxa"/>
            <w:shd w:val="clear" w:color="auto" w:fill="auto"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sz w:val="24"/>
                <w:szCs w:val="24"/>
              </w:rPr>
              <w:t>-0.46, 1.35</w:t>
            </w:r>
          </w:p>
        </w:tc>
        <w:tc>
          <w:tcPr>
            <w:tcW w:w="1128" w:type="dxa"/>
            <w:shd w:val="clear" w:color="auto" w:fill="auto"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sz w:val="24"/>
                <w:szCs w:val="24"/>
              </w:rPr>
              <w:t>0.32</w:t>
            </w:r>
          </w:p>
        </w:tc>
      </w:tr>
      <w:tr w:rsidR="00E54789" w:rsidRPr="00E54789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Pattern Construction</w:t>
            </w:r>
          </w:p>
        </w:tc>
        <w:tc>
          <w:tcPr>
            <w:tcW w:w="1131" w:type="dxa"/>
            <w:shd w:val="clear" w:color="auto" w:fill="auto"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sz w:val="24"/>
                <w:szCs w:val="24"/>
              </w:rPr>
              <w:t>-0.07</w:t>
            </w:r>
          </w:p>
        </w:tc>
        <w:tc>
          <w:tcPr>
            <w:tcW w:w="1880" w:type="dxa"/>
            <w:shd w:val="clear" w:color="auto" w:fill="auto"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sz w:val="24"/>
                <w:szCs w:val="24"/>
              </w:rPr>
              <w:t>-0.46, 0.32</w:t>
            </w:r>
          </w:p>
        </w:tc>
        <w:tc>
          <w:tcPr>
            <w:tcW w:w="1128" w:type="dxa"/>
            <w:shd w:val="clear" w:color="auto" w:fill="auto"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sz w:val="24"/>
                <w:szCs w:val="24"/>
              </w:rPr>
              <w:t>0.72</w:t>
            </w:r>
          </w:p>
        </w:tc>
      </w:tr>
      <w:tr w:rsidR="00E54789" w:rsidRPr="00E54789" w:rsidTr="00E0416E">
        <w:trPr>
          <w:trHeight w:val="203"/>
        </w:trPr>
        <w:tc>
          <w:tcPr>
            <w:tcW w:w="3008" w:type="dxa"/>
            <w:shd w:val="clear" w:color="auto" w:fill="FFFFFF"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Peg Board</w:t>
            </w:r>
          </w:p>
        </w:tc>
        <w:tc>
          <w:tcPr>
            <w:tcW w:w="1131" w:type="dxa"/>
            <w:shd w:val="clear" w:color="auto" w:fill="auto"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sz w:val="24"/>
                <w:szCs w:val="24"/>
              </w:rPr>
              <w:t>-0.12</w:t>
            </w:r>
          </w:p>
        </w:tc>
        <w:tc>
          <w:tcPr>
            <w:tcW w:w="1880" w:type="dxa"/>
            <w:shd w:val="clear" w:color="auto" w:fill="auto"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sz w:val="24"/>
                <w:szCs w:val="24"/>
              </w:rPr>
              <w:t>-0.34, 0.10</w:t>
            </w:r>
          </w:p>
        </w:tc>
        <w:tc>
          <w:tcPr>
            <w:tcW w:w="1128" w:type="dxa"/>
            <w:shd w:val="clear" w:color="auto" w:fill="auto"/>
          </w:tcPr>
          <w:p w:rsidR="00E54789" w:rsidRPr="00E54789" w:rsidRDefault="00E54789" w:rsidP="00E5478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789">
              <w:rPr>
                <w:rFonts w:ascii="Times New Roman" w:eastAsia="Calibri" w:hAnsi="Times New Roman" w:cs="Times New Roman"/>
                <w:sz w:val="24"/>
                <w:szCs w:val="24"/>
              </w:rPr>
              <w:t>0.28</w:t>
            </w:r>
          </w:p>
        </w:tc>
      </w:tr>
    </w:tbl>
    <w:p w:rsidR="00BF419B" w:rsidRDefault="00BF419B">
      <w:bookmarkStart w:id="0" w:name="_GoBack"/>
      <w:bookmarkEnd w:id="0"/>
    </w:p>
    <w:sectPr w:rsidR="00BF4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89"/>
    <w:rsid w:val="00BF419B"/>
    <w:rsid w:val="00E5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A39FB-16F8-4230-ABC9-21937E5B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Nampijja</dc:creator>
  <cp:keywords/>
  <dc:description/>
  <cp:lastModifiedBy>Margaret Nampijja</cp:lastModifiedBy>
  <cp:revision>1</cp:revision>
  <dcterms:created xsi:type="dcterms:W3CDTF">2019-05-11T17:03:00Z</dcterms:created>
  <dcterms:modified xsi:type="dcterms:W3CDTF">2019-05-11T17:03:00Z</dcterms:modified>
</cp:coreProperties>
</file>