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9"/>
        <w:gridCol w:w="1020"/>
        <w:gridCol w:w="794"/>
        <w:gridCol w:w="2972"/>
        <w:gridCol w:w="3260"/>
      </w:tblGrid>
      <w:tr w:rsidR="009B1F7F" w:rsidRPr="00146118" w:rsidTr="00E672C9">
        <w:trPr>
          <w:trHeight w:hRule="exact" w:val="567"/>
        </w:trPr>
        <w:tc>
          <w:tcPr>
            <w:tcW w:w="10065" w:type="dxa"/>
            <w:gridSpan w:val="5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1CD6">
              <w:rPr>
                <w:rFonts w:ascii="Arial" w:hAnsi="Arial" w:cs="Arial"/>
                <w:b/>
                <w:sz w:val="20"/>
                <w:szCs w:val="20"/>
              </w:rPr>
              <w:t>Supplementary table 1: Minimum information for Publication of Quantitative Real-time PCR Experiments (MIQE)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10065" w:type="dxa"/>
            <w:gridSpan w:val="5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b/>
                <w:sz w:val="18"/>
                <w:szCs w:val="18"/>
              </w:rPr>
              <w:t>Experimental design: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Number within each group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8 individual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Bitis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arietans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specimens (originating from Ghana or Nigeria) were used in the study.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Location where assay carried out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Laboratories of the 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Alistair Reid Venom Unit </w:t>
            </w:r>
            <w:r>
              <w:rPr>
                <w:rFonts w:ascii="Arial" w:hAnsi="Arial" w:cs="Arial"/>
                <w:sz w:val="18"/>
                <w:szCs w:val="18"/>
              </w:rPr>
              <w:t>of the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 Molecular and Biochemical Parasitology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esearch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7E1CD6">
              <w:rPr>
                <w:rFonts w:ascii="Arial" w:hAnsi="Arial" w:cs="Arial"/>
                <w:sz w:val="18"/>
                <w:szCs w:val="18"/>
              </w:rPr>
              <w:t>roup, Liverpool School of Tropical Medicine.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Acknowledgement of authors’ contributions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All experiments were carried out by RB Currier.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10065" w:type="dxa"/>
            <w:gridSpan w:val="5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b/>
                <w:sz w:val="18"/>
                <w:szCs w:val="18"/>
              </w:rPr>
              <w:t>Sample: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Description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Lyophilised venom</w:t>
            </w:r>
            <w:r>
              <w:rPr>
                <w:rFonts w:ascii="Arial" w:hAnsi="Arial" w:cs="Arial"/>
                <w:sz w:val="18"/>
                <w:szCs w:val="18"/>
              </w:rPr>
              <w:t xml:space="preserve"> extracted from 8 individual adult </w:t>
            </w:r>
            <w:proofErr w:type="spellStart"/>
            <w:r w:rsidRPr="00CE7F28">
              <w:rPr>
                <w:rFonts w:ascii="Arial" w:hAnsi="Arial" w:cs="Arial"/>
                <w:i/>
                <w:sz w:val="18"/>
                <w:szCs w:val="18"/>
              </w:rPr>
              <w:t>Bitis</w:t>
            </w:r>
            <w:proofErr w:type="spellEnd"/>
            <w:r w:rsidRPr="00CE7F2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E7F28">
              <w:rPr>
                <w:rFonts w:ascii="Arial" w:hAnsi="Arial" w:cs="Arial"/>
                <w:i/>
                <w:sz w:val="18"/>
                <w:szCs w:val="18"/>
              </w:rPr>
              <w:t>arietans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specimens originating from Ghana or Nigeria (historical snake ID numbers: BaG2, BaG4, BaLZS1, BaN11, BaN60, BaN68, BaN80 and BaN81).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Volume/mass sample of processed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2-10mg lyophilised venom.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Processing procedure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Once extracted, venom was frozen at -20°C before being lyophilised for 3-4 hours.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If frozen, how and how quickly?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Fresh venom samples were frozen immediately after extraction.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Sample storage conditions and duration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Freeze-dried venom samples were stored at 4°C.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10065" w:type="dxa"/>
            <w:gridSpan w:val="5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b/>
                <w:sz w:val="18"/>
                <w:szCs w:val="18"/>
              </w:rPr>
              <w:t>Nucleic acid extraction: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Procedure and/or instrumentation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mRNA extraction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Name of kit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Dynabeads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® mRNA DIRECT™ kit (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Dynal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, Invitrogen, UK).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Details of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DNase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or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RNase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treatment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DNase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treatment was performed on a</w:t>
            </w:r>
            <w:r>
              <w:rPr>
                <w:rFonts w:ascii="Arial" w:hAnsi="Arial" w:cs="Arial"/>
                <w:sz w:val="18"/>
                <w:szCs w:val="18"/>
              </w:rPr>
              <w:t xml:space="preserve"> standard sample (pooled mature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 venom). Conventional PCR was carried out and products were run on a 1%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agarose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gel. There were no differences in PCR products between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DNase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and non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DNase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treated mRNA samples.</w:t>
            </w:r>
          </w:p>
        </w:tc>
      </w:tr>
      <w:tr w:rsidR="009B1F7F" w:rsidRPr="00146118" w:rsidTr="00E672C9">
        <w:trPr>
          <w:trHeight w:hRule="exact" w:val="851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Contamination assessment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Reverse transcriptase negative controls for all toxin, non-toxin and reference genes were carried out using a standard mRNA samp</w:t>
            </w:r>
            <w:r>
              <w:rPr>
                <w:rFonts w:ascii="Arial" w:hAnsi="Arial" w:cs="Arial"/>
                <w:sz w:val="18"/>
                <w:szCs w:val="18"/>
              </w:rPr>
              <w:t>le (isolated from pooled mature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 venom).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Amplicons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from conventional PCR were run on a 1%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agarose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gel. No products were visible indicating that there was no contamination.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Nucleic acid quantification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The concentration of mRNA extracted from venom was measured using the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Nanodrop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spectrophotometer.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Instrument and method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Nanodrop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spectrophotometer, Thermo Scientific.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Purity(A</w:t>
            </w:r>
            <w:r w:rsidRPr="007E1CD6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260</w:t>
            </w:r>
            <w:r w:rsidRPr="007E1CD6">
              <w:rPr>
                <w:rFonts w:ascii="Arial" w:hAnsi="Arial" w:cs="Arial"/>
                <w:i/>
                <w:sz w:val="18"/>
                <w:szCs w:val="18"/>
              </w:rPr>
              <w:t>/A</w:t>
            </w:r>
            <w:r w:rsidRPr="007E1CD6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280</w:t>
            </w:r>
            <w:r w:rsidRPr="007E1CD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OD</w:t>
            </w:r>
            <w:r w:rsidRPr="007E1CD6">
              <w:rPr>
                <w:rFonts w:ascii="Arial" w:hAnsi="Arial" w:cs="Arial"/>
                <w:sz w:val="18"/>
                <w:szCs w:val="18"/>
                <w:vertAlign w:val="subscript"/>
              </w:rPr>
              <w:t>260/280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 of a control sample (pooled </w:t>
            </w:r>
            <w:r>
              <w:rPr>
                <w:rFonts w:ascii="Arial" w:hAnsi="Arial" w:cs="Arial"/>
                <w:sz w:val="18"/>
                <w:szCs w:val="18"/>
              </w:rPr>
              <w:t>mature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 venom mRNA) measured using a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Nanodrop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. The OD</w:t>
            </w:r>
            <w:r w:rsidRPr="007E1CD6">
              <w:rPr>
                <w:rFonts w:ascii="Arial" w:hAnsi="Arial" w:cs="Arial"/>
                <w:sz w:val="18"/>
                <w:szCs w:val="18"/>
                <w:vertAlign w:val="subscript"/>
              </w:rPr>
              <w:t>260/280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 reading of mRNA extracted from 10mg lyophilised </w:t>
            </w:r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B.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arietans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venom was 4.67.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Inhibition testing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Standard curves of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cDNA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dilutions (including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cDNA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concentrations of up to 2µg/µl) were sufficient to detect the presence of PCR inhibitors introduced in nucleic acid preparation.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10065" w:type="dxa"/>
            <w:gridSpan w:val="5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b/>
                <w:sz w:val="18"/>
                <w:szCs w:val="18"/>
              </w:rPr>
              <w:t>Reverse transcription:</w:t>
            </w:r>
          </w:p>
        </w:tc>
      </w:tr>
      <w:tr w:rsidR="009B1F7F" w:rsidRPr="00146118" w:rsidTr="00E672C9">
        <w:trPr>
          <w:trHeight w:hRule="exact" w:val="851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Complete reaction conditions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1µl Primer (50µM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oligo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dT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) and 1µl 10mM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dNTP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mix were added to each mRNA sample. The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cDNA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synthesis master mix contained (per reaction): 2µl 10x RT buffer, 4µl 25mM MgCl</w:t>
            </w:r>
            <w:r w:rsidRPr="007E1CD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, 2µl 0.1M DTT, 1µl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RNaseOUT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(40U/µl), 1µl Superscript III RT (200U/µl). 1µl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RNase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H was added to each reaction following termination of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cDNA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synthesis to degrade any RNA template.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Amount of RNA and reaction volume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8µl 2-5ng/µl mRNA was added to each 20µl reaction volume.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Reverse transcriptase and concentration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Superscript® III reverse transcriptase (Invitrogen) at a concentration of 200U/µl.</w:t>
            </w:r>
          </w:p>
        </w:tc>
      </w:tr>
      <w:tr w:rsidR="009B1F7F" w:rsidRPr="00146118" w:rsidTr="00E672C9">
        <w:trPr>
          <w:trHeight w:hRule="exact" w:val="851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Temperature and time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First, samples were incubated for 5 minutes at 65°C and placed on ice for 1 minute. Following addition of the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mastermix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, samples were incubated for 50 minutes at 50°C. The reactions were terminated following incubation at 85°C for 5 minutes. Following addition of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RNase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H, samples were incubated at 37°C for 20 minutes.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Manufacturer of reagents and cat. numbers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Superscript® III first </w:t>
            </w:r>
            <w:proofErr w:type="gramStart"/>
            <w:r w:rsidRPr="007E1CD6">
              <w:rPr>
                <w:rFonts w:ascii="Arial" w:hAnsi="Arial" w:cs="Arial"/>
                <w:sz w:val="18"/>
                <w:szCs w:val="18"/>
              </w:rPr>
              <w:t>strand</w:t>
            </w:r>
            <w:proofErr w:type="gramEnd"/>
            <w:r w:rsidRPr="007E1CD6">
              <w:rPr>
                <w:rFonts w:ascii="Arial" w:hAnsi="Arial" w:cs="Arial"/>
                <w:sz w:val="18"/>
                <w:szCs w:val="18"/>
              </w:rPr>
              <w:t xml:space="preserve"> synthesis system manufactured by Invitrogen (cat. number 18080-051).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Storage conditions of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cDNA</w:t>
            </w:r>
            <w:proofErr w:type="spellEnd"/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E1CD6">
              <w:rPr>
                <w:rFonts w:ascii="Arial" w:hAnsi="Arial" w:cs="Arial"/>
                <w:sz w:val="18"/>
                <w:szCs w:val="18"/>
              </w:rPr>
              <w:t>cDNA</w:t>
            </w:r>
            <w:proofErr w:type="spellEnd"/>
            <w:proofErr w:type="gramEnd"/>
            <w:r w:rsidRPr="007E1CD6">
              <w:rPr>
                <w:rFonts w:ascii="Arial" w:hAnsi="Arial" w:cs="Arial"/>
                <w:sz w:val="18"/>
                <w:szCs w:val="18"/>
              </w:rPr>
              <w:t xml:space="preserve"> was stored at -20°C.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10065" w:type="dxa"/>
            <w:gridSpan w:val="5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b/>
                <w:sz w:val="18"/>
                <w:szCs w:val="18"/>
              </w:rPr>
              <w:t>qPCR</w:t>
            </w:r>
            <w:proofErr w:type="spellEnd"/>
            <w:r w:rsidRPr="007E1CD6">
              <w:rPr>
                <w:rFonts w:ascii="Arial" w:hAnsi="Arial" w:cs="Arial"/>
                <w:b/>
                <w:sz w:val="18"/>
                <w:szCs w:val="18"/>
              </w:rPr>
              <w:t xml:space="preserve"> target information:</w:t>
            </w:r>
          </w:p>
        </w:tc>
      </w:tr>
      <w:tr w:rsidR="009B1F7F" w:rsidRPr="00146118" w:rsidTr="00E672C9">
        <w:trPr>
          <w:trHeight w:hRule="exact" w:val="3969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lastRenderedPageBreak/>
              <w:t>Amplicon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length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Amplicon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lengths for toxin, non-toxin and reference gene primers:</w:t>
            </w:r>
          </w:p>
          <w:p w:rsidR="009B1F7F" w:rsidRPr="0053118A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Snake venom metalloproteinase </w:t>
            </w:r>
            <w:r w:rsidRPr="005C3203">
              <w:rPr>
                <w:rFonts w:ascii="Arial" w:hAnsi="Arial" w:cs="Arial"/>
                <w:sz w:val="18"/>
                <w:szCs w:val="18"/>
                <w:lang w:val="da-DK"/>
              </w:rPr>
              <w:t>–</w:t>
            </w: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 150</w:t>
            </w:r>
          </w:p>
          <w:p w:rsidR="009B1F7F" w:rsidRPr="0053118A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Serine protease </w:t>
            </w:r>
            <w:r w:rsidRPr="005C3203">
              <w:rPr>
                <w:rFonts w:ascii="Arial" w:hAnsi="Arial" w:cs="Arial"/>
                <w:sz w:val="18"/>
                <w:szCs w:val="18"/>
                <w:lang w:val="da-DK"/>
              </w:rPr>
              <w:t>–</w:t>
            </w: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 195</w:t>
            </w:r>
          </w:p>
          <w:p w:rsidR="009B1F7F" w:rsidRPr="0053118A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C-type lectin </w:t>
            </w:r>
            <w:r w:rsidRPr="005C3203">
              <w:rPr>
                <w:rFonts w:ascii="Arial" w:hAnsi="Arial" w:cs="Arial"/>
                <w:sz w:val="18"/>
                <w:szCs w:val="18"/>
                <w:lang w:val="da-DK"/>
              </w:rPr>
              <w:t>–</w:t>
            </w: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 131 </w:t>
            </w:r>
          </w:p>
          <w:p w:rsidR="009B1F7F" w:rsidRPr="0053118A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Kunitz inhibitor </w:t>
            </w:r>
            <w:r w:rsidRPr="005C3203">
              <w:rPr>
                <w:rFonts w:ascii="Arial" w:hAnsi="Arial" w:cs="Arial"/>
                <w:sz w:val="18"/>
                <w:szCs w:val="18"/>
                <w:lang w:val="da-DK"/>
              </w:rPr>
              <w:t>–</w:t>
            </w: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 80 </w:t>
            </w:r>
          </w:p>
          <w:p w:rsidR="009B1F7F" w:rsidRPr="0053118A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Protein disulphide isomerase </w:t>
            </w:r>
            <w:r w:rsidRPr="005C3203">
              <w:rPr>
                <w:rFonts w:ascii="Arial" w:hAnsi="Arial" w:cs="Arial"/>
                <w:sz w:val="18"/>
                <w:szCs w:val="18"/>
                <w:lang w:val="da-DK"/>
              </w:rPr>
              <w:t>–</w:t>
            </w: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 160 </w:t>
            </w:r>
          </w:p>
          <w:p w:rsidR="009B1F7F" w:rsidRPr="0053118A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QKW inhibitors </w:t>
            </w:r>
            <w:r w:rsidRPr="005C3203">
              <w:rPr>
                <w:rFonts w:ascii="Arial" w:hAnsi="Arial" w:cs="Arial"/>
                <w:sz w:val="18"/>
                <w:szCs w:val="18"/>
                <w:lang w:val="da-DK"/>
              </w:rPr>
              <w:t>–</w:t>
            </w:r>
            <w:r w:rsidRPr="0053118A">
              <w:rPr>
                <w:rFonts w:ascii="Arial" w:hAnsi="Arial" w:cs="Arial"/>
                <w:sz w:val="18"/>
                <w:szCs w:val="18"/>
                <w:lang w:val="da-DK"/>
              </w:rPr>
              <w:t xml:space="preserve"> 181 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β-actin – 156 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GAPDH – 158 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Heat shock protein - 148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Secondary structure analysis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Secondary structures were avoided during primer design.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10065" w:type="dxa"/>
            <w:gridSpan w:val="5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b/>
                <w:sz w:val="18"/>
                <w:szCs w:val="18"/>
              </w:rPr>
              <w:t>qPCR</w:t>
            </w:r>
            <w:proofErr w:type="spellEnd"/>
            <w:r w:rsidRPr="007E1CD6">
              <w:rPr>
                <w:rFonts w:ascii="Arial" w:hAnsi="Arial" w:cs="Arial"/>
                <w:b/>
                <w:sz w:val="18"/>
                <w:szCs w:val="18"/>
              </w:rPr>
              <w:t xml:space="preserve"> oligonucleotides: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Primer sequences</w:t>
            </w:r>
          </w:p>
        </w:tc>
        <w:tc>
          <w:tcPr>
            <w:tcW w:w="102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CD6">
              <w:rPr>
                <w:rFonts w:ascii="Arial" w:hAnsi="Arial" w:cs="Arial"/>
                <w:b/>
                <w:sz w:val="16"/>
                <w:szCs w:val="16"/>
              </w:rPr>
              <w:t>Cluster number</w:t>
            </w:r>
          </w:p>
        </w:tc>
        <w:tc>
          <w:tcPr>
            <w:tcW w:w="794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CD6">
              <w:rPr>
                <w:rFonts w:ascii="Arial" w:hAnsi="Arial" w:cs="Arial"/>
                <w:b/>
                <w:sz w:val="16"/>
                <w:szCs w:val="16"/>
              </w:rPr>
              <w:t>Protein group</w:t>
            </w:r>
          </w:p>
        </w:tc>
        <w:tc>
          <w:tcPr>
            <w:tcW w:w="2972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CD6">
              <w:rPr>
                <w:rFonts w:ascii="Arial" w:hAnsi="Arial" w:cs="Arial"/>
                <w:b/>
                <w:sz w:val="16"/>
                <w:szCs w:val="16"/>
              </w:rPr>
              <w:t>Forward primer sequence</w:t>
            </w:r>
          </w:p>
        </w:tc>
        <w:tc>
          <w:tcPr>
            <w:tcW w:w="326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CD6">
              <w:rPr>
                <w:rFonts w:ascii="Arial" w:hAnsi="Arial" w:cs="Arial"/>
                <w:b/>
                <w:sz w:val="16"/>
                <w:szCs w:val="16"/>
              </w:rPr>
              <w:t>Reverse primer sequence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Merge w:val="restart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BAR00042</w:t>
            </w:r>
          </w:p>
        </w:tc>
        <w:tc>
          <w:tcPr>
            <w:tcW w:w="794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SVMP</w:t>
            </w:r>
          </w:p>
        </w:tc>
        <w:tc>
          <w:tcPr>
            <w:tcW w:w="2972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ATACTGCGTGGTCTAGAAATGTGG</w:t>
            </w:r>
          </w:p>
        </w:tc>
        <w:tc>
          <w:tcPr>
            <w:tcW w:w="326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AGCGCCTGTGAATAACTGAGC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Merge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BAR00034</w:t>
            </w:r>
          </w:p>
        </w:tc>
        <w:tc>
          <w:tcPr>
            <w:tcW w:w="794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2972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AGGAGGCGAGGAGAAGAGACG</w:t>
            </w:r>
          </w:p>
        </w:tc>
        <w:tc>
          <w:tcPr>
            <w:tcW w:w="3260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TTCCGCCCCATCCCATAATAC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Merge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BAR00012</w:t>
            </w:r>
          </w:p>
        </w:tc>
        <w:tc>
          <w:tcPr>
            <w:tcW w:w="794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CTL</w:t>
            </w:r>
          </w:p>
        </w:tc>
        <w:tc>
          <w:tcPr>
            <w:tcW w:w="2972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GCTCCGGCTTGCTGGTCGTGTTC</w:t>
            </w:r>
          </w:p>
        </w:tc>
        <w:tc>
          <w:tcPr>
            <w:tcW w:w="3260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TCGATCGGCCCAGGTCTTCTCTAC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Merge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BAR00023</w:t>
            </w:r>
          </w:p>
        </w:tc>
        <w:tc>
          <w:tcPr>
            <w:tcW w:w="794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KTI</w:t>
            </w:r>
          </w:p>
        </w:tc>
        <w:tc>
          <w:tcPr>
            <w:tcW w:w="2972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GGGCCTATATCCGTTCCTTCTT</w:t>
            </w:r>
          </w:p>
        </w:tc>
        <w:tc>
          <w:tcPr>
            <w:tcW w:w="3260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ATTCCCATAGCATCCACCATAAAA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Merge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BAR00008</w:t>
            </w:r>
          </w:p>
        </w:tc>
        <w:tc>
          <w:tcPr>
            <w:tcW w:w="794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PDI</w:t>
            </w:r>
          </w:p>
        </w:tc>
        <w:tc>
          <w:tcPr>
            <w:tcW w:w="2972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CCCGAATATTCTGGTGGAGT</w:t>
            </w:r>
          </w:p>
        </w:tc>
        <w:tc>
          <w:tcPr>
            <w:tcW w:w="3260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AAATTGTTGGGCGAGTTCTG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Merge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BAR00003</w:t>
            </w:r>
          </w:p>
        </w:tc>
        <w:tc>
          <w:tcPr>
            <w:tcW w:w="794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QKW</w:t>
            </w:r>
          </w:p>
        </w:tc>
        <w:tc>
          <w:tcPr>
            <w:tcW w:w="2972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TGCGCCCCCAAATCCTCCTA</w:t>
            </w:r>
          </w:p>
        </w:tc>
        <w:tc>
          <w:tcPr>
            <w:tcW w:w="3260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TGGCATACGCAGCTGGTTTACTCA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Merge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β-actin</w:t>
            </w:r>
          </w:p>
        </w:tc>
        <w:tc>
          <w:tcPr>
            <w:tcW w:w="2972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CTCAGAGTCGCCCCGGAAGAACAT</w:t>
            </w:r>
          </w:p>
        </w:tc>
        <w:tc>
          <w:tcPr>
            <w:tcW w:w="3260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AGAGGCGTACAGGGAGAGCACAGC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Merge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GAPDH</w:t>
            </w:r>
          </w:p>
        </w:tc>
        <w:tc>
          <w:tcPr>
            <w:tcW w:w="2972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GAATATCATCCCAGCATCCACAGG</w:t>
            </w:r>
          </w:p>
        </w:tc>
        <w:tc>
          <w:tcPr>
            <w:tcW w:w="3260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CATCATACTTCGCCGGTTTCTCTA</w:t>
            </w:r>
          </w:p>
        </w:tc>
      </w:tr>
      <w:tr w:rsidR="009B1F7F" w:rsidRPr="00146118" w:rsidTr="00E672C9">
        <w:trPr>
          <w:trHeight w:hRule="exact" w:val="567"/>
        </w:trPr>
        <w:tc>
          <w:tcPr>
            <w:tcW w:w="2019" w:type="dxa"/>
            <w:vMerge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:rsidR="009B1F7F" w:rsidRPr="007E1CD6" w:rsidRDefault="009B1F7F" w:rsidP="00E672C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Heat shock protein</w:t>
            </w:r>
          </w:p>
        </w:tc>
        <w:tc>
          <w:tcPr>
            <w:tcW w:w="2972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CTGCCAGAAGATGAAGATGAAAAG</w:t>
            </w:r>
          </w:p>
        </w:tc>
        <w:tc>
          <w:tcPr>
            <w:tcW w:w="3260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1CD6">
              <w:rPr>
                <w:rFonts w:ascii="Arial" w:hAnsi="Arial" w:cs="Arial"/>
                <w:sz w:val="16"/>
                <w:szCs w:val="16"/>
              </w:rPr>
              <w:t>CAATACAACACGGGGAAGAGACTA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Manufacturer of oligonucleotides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ind w:right="244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Sigma, UK.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Purification method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Desalting</w:t>
            </w:r>
          </w:p>
        </w:tc>
      </w:tr>
      <w:tr w:rsidR="009B1F7F" w:rsidRPr="00146118" w:rsidTr="00E672C9">
        <w:trPr>
          <w:trHeight w:hRule="exact" w:val="397"/>
        </w:trPr>
        <w:tc>
          <w:tcPr>
            <w:tcW w:w="10065" w:type="dxa"/>
            <w:gridSpan w:val="5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b/>
                <w:sz w:val="18"/>
                <w:szCs w:val="18"/>
              </w:rPr>
              <w:t>qPCR</w:t>
            </w:r>
            <w:proofErr w:type="spellEnd"/>
            <w:r w:rsidRPr="007E1CD6">
              <w:rPr>
                <w:rFonts w:ascii="Arial" w:hAnsi="Arial" w:cs="Arial"/>
                <w:b/>
                <w:sz w:val="18"/>
                <w:szCs w:val="18"/>
              </w:rPr>
              <w:t xml:space="preserve"> protocol: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Complete reaction conditions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1µl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cDNA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sample per reaction was added to 4µl ultrapure water. 6µl KAPA SYBR® FAST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qPCR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master mix was added to the diluted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cDNA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sample.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Reaction volume and amount of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cDNA</w:t>
            </w:r>
            <w:proofErr w:type="spellEnd"/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11µl reaction volume containing 1µl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cDNA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Primer, Mg</w:t>
            </w:r>
            <w:r w:rsidRPr="007E1CD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2+</w:t>
            </w:r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dNTP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concentrations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Primers were added to the master mix from 10µM solutions to produce a final concentration of 200nM in the master mix. There was no deviation in Mg</w:t>
            </w:r>
            <w:r w:rsidRPr="007E1CD6">
              <w:rPr>
                <w:rFonts w:ascii="Arial" w:hAnsi="Arial" w:cs="Arial"/>
                <w:sz w:val="18"/>
                <w:szCs w:val="18"/>
                <w:vertAlign w:val="superscript"/>
              </w:rPr>
              <w:t>2+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dNTP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to those provided within the manufacturer’s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mastermix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Polymerase identity and concentration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There was no deviation in the concentration of KAPA SYBR® DNA polymerase to that provided within the manufacturer’s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mastermix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Buffer/kit identity and manufacturer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KAPA SYBR® FAST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qPCR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kit, KAPA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Biosystems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AnaChem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Additives (SYBR green I, DMSO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etc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SYBR green I was contained within the manufacturer’s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mastermix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Manufacturer of plates and cat. number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BioRad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, UK (Cat. HSP-3805)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Complete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thermocycling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parameters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The following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thermocycling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protocol was use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7E1CD6">
              <w:rPr>
                <w:rFonts w:ascii="Arial" w:hAnsi="Arial" w:cs="Arial"/>
                <w:sz w:val="18"/>
                <w:szCs w:val="18"/>
              </w:rPr>
              <w:t>: enzyme activation 95°C, 3 minutes, [denaturation 95°C, 10 seconds, anneal/extend 55°C, 30 seconds] x 40 cycles. Melt curve were performed following amplification: 10 sec (95°C), ramping from 55°C to 95°C at 0.5°C increments.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Reaction setup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Manual.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Manufacturer of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qPCR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instrument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BioRad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CFX 384 real time PCR detection system manufactured by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BioRad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B1F7F" w:rsidRPr="00146118" w:rsidTr="00E672C9">
        <w:trPr>
          <w:trHeight w:hRule="exact" w:val="284"/>
        </w:trPr>
        <w:tc>
          <w:tcPr>
            <w:tcW w:w="10065" w:type="dxa"/>
            <w:gridSpan w:val="5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b/>
                <w:sz w:val="18"/>
                <w:szCs w:val="18"/>
              </w:rPr>
              <w:t>qPCR</w:t>
            </w:r>
            <w:proofErr w:type="spellEnd"/>
            <w:r w:rsidRPr="007E1CD6">
              <w:rPr>
                <w:rFonts w:ascii="Arial" w:hAnsi="Arial" w:cs="Arial"/>
                <w:b/>
                <w:sz w:val="18"/>
                <w:szCs w:val="18"/>
              </w:rPr>
              <w:t xml:space="preserve"> validation: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Evidence of optimisation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PCR with a temperature gradient from 50-65 ºC using all primer pairs was performed in order to determine optimal annealing temperature. An average optimal temperature for all primer pairs was calculated to be 55ºC.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Specificity (gel, sequence, melt or digest)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Melt curves for example primer pairs are provided in supplementary figure 1.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For SYBR green I,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Pr="007E1CD6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q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of the NTC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All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C</w:t>
            </w:r>
            <w:r w:rsidRPr="007E1CD6">
              <w:rPr>
                <w:rFonts w:ascii="Arial" w:hAnsi="Arial" w:cs="Arial"/>
                <w:sz w:val="18"/>
                <w:szCs w:val="18"/>
                <w:vertAlign w:val="subscript"/>
              </w:rPr>
              <w:t>q</w:t>
            </w:r>
            <w:r w:rsidRPr="007E1CD6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for NTCs were negative indicating no DNA contamination.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Calibration curves with slope and y intercept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Standard curves example primer pairs are provided in supplementary figure 1.</w:t>
            </w:r>
          </w:p>
        </w:tc>
      </w:tr>
      <w:tr w:rsidR="009B1F7F" w:rsidRPr="00146118" w:rsidTr="00E672C9">
        <w:trPr>
          <w:trHeight w:hRule="exact" w:val="3969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PCR efficiency calculated from slope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53118A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3118A">
              <w:rPr>
                <w:rFonts w:ascii="Arial" w:hAnsi="Arial" w:cs="Arial"/>
                <w:sz w:val="18"/>
                <w:szCs w:val="18"/>
                <w:lang w:val="fr-FR"/>
              </w:rPr>
              <w:t xml:space="preserve">Amplification </w:t>
            </w:r>
            <w:proofErr w:type="spellStart"/>
            <w:r w:rsidRPr="0053118A">
              <w:rPr>
                <w:rFonts w:ascii="Arial" w:hAnsi="Arial" w:cs="Arial"/>
                <w:sz w:val="18"/>
                <w:szCs w:val="18"/>
                <w:lang w:val="fr-FR"/>
              </w:rPr>
              <w:t>efficiencies</w:t>
            </w:r>
            <w:proofErr w:type="spellEnd"/>
            <w:r w:rsidRPr="0053118A">
              <w:rPr>
                <w:rFonts w:ascii="Arial" w:hAnsi="Arial" w:cs="Arial"/>
                <w:sz w:val="18"/>
                <w:szCs w:val="18"/>
                <w:lang w:val="fr-FR"/>
              </w:rPr>
              <w:t xml:space="preserve"> (%) - </w:t>
            </w:r>
          </w:p>
          <w:p w:rsidR="009B1F7F" w:rsidRPr="0053118A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53118A">
              <w:rPr>
                <w:rFonts w:ascii="Arial" w:hAnsi="Arial" w:cs="Arial"/>
                <w:sz w:val="18"/>
                <w:szCs w:val="18"/>
                <w:lang w:val="fr-FR"/>
              </w:rPr>
              <w:t>Snake</w:t>
            </w:r>
            <w:proofErr w:type="spellEnd"/>
            <w:r w:rsidRPr="0053118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3118A">
              <w:rPr>
                <w:rFonts w:ascii="Arial" w:hAnsi="Arial" w:cs="Arial"/>
                <w:sz w:val="18"/>
                <w:szCs w:val="18"/>
                <w:lang w:val="fr-FR"/>
              </w:rPr>
              <w:t>venom</w:t>
            </w:r>
            <w:proofErr w:type="spellEnd"/>
            <w:r w:rsidRPr="0053118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3118A">
              <w:rPr>
                <w:rFonts w:ascii="Arial" w:hAnsi="Arial" w:cs="Arial"/>
                <w:sz w:val="18"/>
                <w:szCs w:val="18"/>
                <w:lang w:val="fr-FR"/>
              </w:rPr>
              <w:t>metalloproteinase</w:t>
            </w:r>
            <w:proofErr w:type="spellEnd"/>
            <w:r w:rsidRPr="0053118A">
              <w:rPr>
                <w:rFonts w:ascii="Arial" w:hAnsi="Arial" w:cs="Arial"/>
                <w:sz w:val="18"/>
                <w:szCs w:val="18"/>
                <w:lang w:val="fr-FR"/>
              </w:rPr>
              <w:t>: 94.0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Serine protease: 28.0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C-type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lectin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: 96.9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Kunitz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inhibitor: 100.7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Protein disulphide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isomerase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>: 102.0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QKW inhibitory peptide: 91.2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β-actin: 62.2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GAPDH: 51.7</w:t>
            </w:r>
          </w:p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Heat shock protein:89.5                 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10065" w:type="dxa"/>
            <w:gridSpan w:val="5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b/>
                <w:sz w:val="18"/>
                <w:szCs w:val="18"/>
              </w:rPr>
              <w:t>Data analysis: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qPCR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analysis program (source, version)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BioRad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CFX manager version 1.5.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Method of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Pr="007E1CD6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q</w:t>
            </w:r>
            <w:proofErr w:type="spellEnd"/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 determination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Single threshold.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Number/choice of reference genes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3; β-actin, GAPDH and heat shock protein were used as reference genes.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Description of normalised method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gramStart"/>
            <w:r w:rsidRPr="007E1CD6">
              <w:rPr>
                <w:rFonts w:ascii="Arial" w:hAnsi="Arial" w:cs="Arial"/>
                <w:sz w:val="18"/>
                <w:szCs w:val="18"/>
              </w:rPr>
              <w:t>ΔΔC(</w:t>
            </w:r>
            <w:proofErr w:type="gramEnd"/>
            <w:r w:rsidRPr="007E1CD6">
              <w:rPr>
                <w:rFonts w:ascii="Arial" w:hAnsi="Arial" w:cs="Arial"/>
                <w:sz w:val="18"/>
                <w:szCs w:val="18"/>
              </w:rPr>
              <w:t>t)) method for normalized relative gene expression</w:t>
            </w:r>
            <w:r>
              <w:rPr>
                <w:rFonts w:ascii="Arial" w:hAnsi="Arial" w:cs="Arial"/>
                <w:sz w:val="18"/>
                <w:szCs w:val="18"/>
              </w:rPr>
              <w:t xml:space="preserve"> was used</w:t>
            </w:r>
            <w:r w:rsidRPr="007E1C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Number of biological replicates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8 individual West African </w:t>
            </w:r>
            <w:r w:rsidRPr="007E1CD6">
              <w:rPr>
                <w:rFonts w:ascii="Arial" w:hAnsi="Arial" w:cs="Arial"/>
                <w:i/>
                <w:sz w:val="18"/>
                <w:szCs w:val="18"/>
              </w:rPr>
              <w:t xml:space="preserve">B. </w:t>
            </w:r>
            <w:proofErr w:type="spellStart"/>
            <w:r w:rsidRPr="007E1CD6">
              <w:rPr>
                <w:rFonts w:ascii="Arial" w:hAnsi="Arial" w:cs="Arial"/>
                <w:i/>
                <w:sz w:val="18"/>
                <w:szCs w:val="18"/>
              </w:rPr>
              <w:t>arietans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specimens were used in this study.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Repeatability (intra-assay variation)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>To assess intra-assay repeatability, samples used for standard curve analysis were run in duplicate. All unknown samples were run in triplicate.</w:t>
            </w:r>
          </w:p>
        </w:tc>
      </w:tr>
      <w:tr w:rsidR="009B1F7F" w:rsidRPr="00146118" w:rsidTr="00E672C9">
        <w:trPr>
          <w:trHeight w:hRule="exact" w:val="680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Reproducibility (inter-assay variation, CV)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The venom extraction time course was repeated for all available specimens used in the study. </w:t>
            </w:r>
            <w:proofErr w:type="gramStart"/>
            <w:r w:rsidRPr="007E1CD6">
              <w:rPr>
                <w:rFonts w:ascii="Arial" w:hAnsi="Arial" w:cs="Arial"/>
                <w:sz w:val="18"/>
                <w:szCs w:val="18"/>
              </w:rPr>
              <w:t>mRNA</w:t>
            </w:r>
            <w:proofErr w:type="gramEnd"/>
            <w:r w:rsidRPr="007E1CD6">
              <w:rPr>
                <w:rFonts w:ascii="Arial" w:hAnsi="Arial" w:cs="Arial"/>
                <w:sz w:val="18"/>
                <w:szCs w:val="18"/>
              </w:rPr>
              <w:t xml:space="preserve"> extraction,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cDNA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synthesis and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qPCR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were performed under identical conditions as in the first time course. Relative expression analysis from both runs was in agreement.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Statistical methods for results significance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1CD6">
              <w:rPr>
                <w:rFonts w:ascii="Arial" w:hAnsi="Arial" w:cs="Arial"/>
                <w:sz w:val="18"/>
                <w:szCs w:val="18"/>
              </w:rPr>
              <w:t xml:space="preserve">Multiple regression analysis and </w:t>
            </w:r>
            <w:proofErr w:type="spellStart"/>
            <w:r w:rsidRPr="007E1CD6">
              <w:rPr>
                <w:rFonts w:ascii="Arial" w:hAnsi="Arial" w:cs="Arial"/>
                <w:sz w:val="18"/>
                <w:szCs w:val="18"/>
              </w:rPr>
              <w:t>Bonferroni</w:t>
            </w:r>
            <w:proofErr w:type="spellEnd"/>
            <w:r w:rsidRPr="007E1CD6">
              <w:rPr>
                <w:rFonts w:ascii="Arial" w:hAnsi="Arial" w:cs="Arial"/>
                <w:sz w:val="18"/>
                <w:szCs w:val="18"/>
              </w:rPr>
              <w:t xml:space="preserve"> post-hoc testing.</w:t>
            </w:r>
          </w:p>
        </w:tc>
      </w:tr>
      <w:tr w:rsidR="009B1F7F" w:rsidRPr="00146118" w:rsidTr="00E672C9">
        <w:trPr>
          <w:trHeight w:hRule="exact" w:val="454"/>
        </w:trPr>
        <w:tc>
          <w:tcPr>
            <w:tcW w:w="2019" w:type="dxa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E1CD6">
              <w:rPr>
                <w:rFonts w:ascii="Arial" w:hAnsi="Arial" w:cs="Arial"/>
                <w:i/>
                <w:sz w:val="18"/>
                <w:szCs w:val="18"/>
              </w:rPr>
              <w:t>Software (source, version)</w:t>
            </w:r>
          </w:p>
        </w:tc>
        <w:tc>
          <w:tcPr>
            <w:tcW w:w="8046" w:type="dxa"/>
            <w:gridSpan w:val="4"/>
            <w:vAlign w:val="center"/>
          </w:tcPr>
          <w:p w:rsidR="009B1F7F" w:rsidRPr="007E1CD6" w:rsidRDefault="009B1F7F" w:rsidP="00E672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PASW Statistics, </w:t>
            </w:r>
            <w:r w:rsidRPr="007E1CD6">
              <w:rPr>
                <w:rFonts w:ascii="Arial" w:hAnsi="Arial" w:cs="Arial"/>
                <w:sz w:val="18"/>
                <w:szCs w:val="18"/>
              </w:rPr>
              <w:t xml:space="preserve">SPSS </w:t>
            </w:r>
            <w:r>
              <w:rPr>
                <w:rFonts w:ascii="Arial" w:hAnsi="Arial" w:cs="Arial"/>
                <w:sz w:val="18"/>
                <w:szCs w:val="18"/>
              </w:rPr>
              <w:t xml:space="preserve">Inc. </w:t>
            </w:r>
            <w:r w:rsidRPr="007E1CD6">
              <w:rPr>
                <w:rFonts w:ascii="Arial" w:hAnsi="Arial" w:cs="Arial"/>
                <w:sz w:val="18"/>
                <w:szCs w:val="18"/>
              </w:rPr>
              <w:t>Version18.</w:t>
            </w:r>
          </w:p>
        </w:tc>
      </w:tr>
    </w:tbl>
    <w:p w:rsidR="00B568A1" w:rsidRDefault="00B568A1">
      <w:bookmarkStart w:id="0" w:name="_GoBack"/>
      <w:bookmarkEnd w:id="0"/>
    </w:p>
    <w:sectPr w:rsidR="00B56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7F"/>
    <w:rsid w:val="009B1F7F"/>
    <w:rsid w:val="00B5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2012-07-16T12:05:00Z</dcterms:created>
  <dcterms:modified xsi:type="dcterms:W3CDTF">2012-07-16T12:06:00Z</dcterms:modified>
</cp:coreProperties>
</file>