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E9" w:rsidRPr="000F693F" w:rsidRDefault="001631A2" w:rsidP="00D40CE9">
      <w:r w:rsidRPr="000F693F">
        <w:t>S5</w:t>
      </w:r>
      <w:r w:rsidR="00D40CE9" w:rsidRPr="000F693F">
        <w:t xml:space="preserve"> Table</w:t>
      </w:r>
      <w:r w:rsidR="00691959" w:rsidRPr="000F693F">
        <w:t xml:space="preserve">. </w:t>
      </w:r>
      <w:r w:rsidR="00D40CE9" w:rsidRPr="000F693F">
        <w:t>Summary</w:t>
      </w:r>
      <w:r w:rsidRPr="000F693F">
        <w:t xml:space="preserve"> </w:t>
      </w:r>
      <w:r w:rsidR="00D40CE9" w:rsidRPr="000F693F">
        <w:t xml:space="preserve">table </w:t>
      </w:r>
      <w:r w:rsidR="00230590">
        <w:t xml:space="preserve">of estimates for the first two </w:t>
      </w:r>
      <w:r w:rsidR="00230590" w:rsidRPr="00041765">
        <w:t>90-90</w:t>
      </w:r>
      <w:r w:rsidR="00230590">
        <w:t>-90 targets</w:t>
      </w:r>
      <w:bookmarkStart w:id="0" w:name="_GoBack"/>
      <w:bookmarkEnd w:id="0"/>
      <w:r w:rsidR="00D40CE9" w:rsidRPr="000F693F">
        <w:t xml:space="preserve">, Zambia Round 1; adults age </w:t>
      </w:r>
      <w:r w:rsidR="00D40CE9" w:rsidRPr="000F693F">
        <w:rPr>
          <w:rFonts w:cstheme="minorHAnsi"/>
        </w:rPr>
        <w:t>≥</w:t>
      </w:r>
      <w:r w:rsidR="00D40CE9" w:rsidRPr="000F693F">
        <w:t>18 years at time of annual round visit; sensitivity analysis</w:t>
      </w:r>
    </w:p>
    <w:tbl>
      <w:tblPr>
        <w:tblStyle w:val="TableGrid"/>
        <w:tblW w:w="15041" w:type="dxa"/>
        <w:tblLook w:val="04A0" w:firstRow="1" w:lastRow="0" w:firstColumn="1" w:lastColumn="0" w:noHBand="0" w:noVBand="1"/>
      </w:tblPr>
      <w:tblGrid>
        <w:gridCol w:w="3369"/>
        <w:gridCol w:w="843"/>
        <w:gridCol w:w="1126"/>
        <w:gridCol w:w="1370"/>
        <w:gridCol w:w="1370"/>
        <w:gridCol w:w="1128"/>
        <w:gridCol w:w="841"/>
        <w:gridCol w:w="1126"/>
        <w:gridCol w:w="1370"/>
        <w:gridCol w:w="1370"/>
        <w:gridCol w:w="1128"/>
      </w:tblGrid>
      <w:tr w:rsidR="00D40CE9" w:rsidTr="008971A1">
        <w:tc>
          <w:tcPr>
            <w:tcW w:w="3369" w:type="dxa"/>
          </w:tcPr>
          <w:p w:rsidR="00D40CE9" w:rsidRDefault="00D40CE9" w:rsidP="008971A1">
            <w:pPr>
              <w:rPr>
                <w:b/>
              </w:rPr>
            </w:pPr>
          </w:p>
        </w:tc>
        <w:tc>
          <w:tcPr>
            <w:tcW w:w="5837" w:type="dxa"/>
            <w:gridSpan w:val="5"/>
          </w:tcPr>
          <w:p w:rsidR="00D40CE9" w:rsidRDefault="00D40CE9" w:rsidP="008971A1">
            <w:pPr>
              <w:jc w:val="center"/>
              <w:rPr>
                <w:b/>
              </w:rPr>
            </w:pPr>
            <w:r>
              <w:rPr>
                <w:b/>
              </w:rPr>
              <w:t>Men</w:t>
            </w:r>
          </w:p>
        </w:tc>
        <w:tc>
          <w:tcPr>
            <w:tcW w:w="5835" w:type="dxa"/>
            <w:gridSpan w:val="5"/>
          </w:tcPr>
          <w:p w:rsidR="00D40CE9" w:rsidRDefault="00D40CE9" w:rsidP="008971A1">
            <w:pPr>
              <w:jc w:val="center"/>
              <w:rPr>
                <w:b/>
              </w:rPr>
            </w:pPr>
            <w:r>
              <w:rPr>
                <w:b/>
              </w:rPr>
              <w:t>Women</w:t>
            </w:r>
          </w:p>
        </w:tc>
      </w:tr>
      <w:tr w:rsidR="00D40CE9" w:rsidTr="008971A1">
        <w:tc>
          <w:tcPr>
            <w:tcW w:w="3369" w:type="dxa"/>
          </w:tcPr>
          <w:p w:rsidR="00D40CE9" w:rsidRDefault="00D40CE9" w:rsidP="008971A1">
            <w:pPr>
              <w:rPr>
                <w:b/>
              </w:rPr>
            </w:pPr>
          </w:p>
        </w:tc>
        <w:tc>
          <w:tcPr>
            <w:tcW w:w="843" w:type="dxa"/>
          </w:tcPr>
          <w:p w:rsidR="00D40CE9" w:rsidRDefault="00D40CE9" w:rsidP="008971A1">
            <w:pPr>
              <w:jc w:val="center"/>
              <w:rPr>
                <w:b/>
              </w:rPr>
            </w:pPr>
          </w:p>
        </w:tc>
        <w:tc>
          <w:tcPr>
            <w:tcW w:w="2496" w:type="dxa"/>
            <w:gridSpan w:val="2"/>
          </w:tcPr>
          <w:p w:rsidR="00D40CE9" w:rsidRDefault="00D40CE9" w:rsidP="008971A1">
            <w:pPr>
              <w:jc w:val="center"/>
              <w:rPr>
                <w:b/>
              </w:rPr>
            </w:pPr>
            <w:r>
              <w:rPr>
                <w:b/>
              </w:rPr>
              <w:t>First 90 (%)</w:t>
            </w:r>
          </w:p>
        </w:tc>
        <w:tc>
          <w:tcPr>
            <w:tcW w:w="2498" w:type="dxa"/>
            <w:gridSpan w:val="2"/>
          </w:tcPr>
          <w:p w:rsidR="00D40CE9" w:rsidRDefault="00D40CE9" w:rsidP="008971A1">
            <w:pPr>
              <w:jc w:val="center"/>
              <w:rPr>
                <w:b/>
              </w:rPr>
            </w:pPr>
            <w:r>
              <w:rPr>
                <w:b/>
              </w:rPr>
              <w:t>Second 90 (%)</w:t>
            </w:r>
          </w:p>
        </w:tc>
        <w:tc>
          <w:tcPr>
            <w:tcW w:w="841" w:type="dxa"/>
          </w:tcPr>
          <w:p w:rsidR="00D40CE9" w:rsidRDefault="00D40CE9" w:rsidP="008971A1">
            <w:pPr>
              <w:jc w:val="center"/>
              <w:rPr>
                <w:b/>
              </w:rPr>
            </w:pPr>
          </w:p>
        </w:tc>
        <w:tc>
          <w:tcPr>
            <w:tcW w:w="2496" w:type="dxa"/>
            <w:gridSpan w:val="2"/>
          </w:tcPr>
          <w:p w:rsidR="00D40CE9" w:rsidRDefault="00D40CE9" w:rsidP="008971A1">
            <w:pPr>
              <w:jc w:val="center"/>
              <w:rPr>
                <w:b/>
              </w:rPr>
            </w:pPr>
            <w:r>
              <w:rPr>
                <w:b/>
              </w:rPr>
              <w:t>First 90 (%)</w:t>
            </w:r>
          </w:p>
        </w:tc>
        <w:tc>
          <w:tcPr>
            <w:tcW w:w="2498" w:type="dxa"/>
            <w:gridSpan w:val="2"/>
          </w:tcPr>
          <w:p w:rsidR="00D40CE9" w:rsidRDefault="00D40CE9" w:rsidP="008971A1">
            <w:pPr>
              <w:jc w:val="center"/>
              <w:rPr>
                <w:b/>
              </w:rPr>
            </w:pPr>
            <w:r>
              <w:rPr>
                <w:b/>
              </w:rPr>
              <w:t>Second 90 (%)</w:t>
            </w:r>
          </w:p>
        </w:tc>
      </w:tr>
      <w:tr w:rsidR="00D40CE9" w:rsidTr="008971A1">
        <w:tc>
          <w:tcPr>
            <w:tcW w:w="3369" w:type="dxa"/>
            <w:vAlign w:val="bottom"/>
          </w:tcPr>
          <w:p w:rsidR="00D40CE9" w:rsidRPr="00CA4573" w:rsidRDefault="00D40CE9" w:rsidP="008971A1"/>
        </w:tc>
        <w:tc>
          <w:tcPr>
            <w:tcW w:w="843" w:type="dxa"/>
          </w:tcPr>
          <w:p w:rsidR="00D40CE9" w:rsidRDefault="00D40CE9" w:rsidP="008971A1">
            <w:pPr>
              <w:jc w:val="center"/>
              <w:rPr>
                <w:b/>
              </w:rPr>
            </w:pPr>
          </w:p>
        </w:tc>
        <w:tc>
          <w:tcPr>
            <w:tcW w:w="1126" w:type="dxa"/>
          </w:tcPr>
          <w:p w:rsidR="00D40CE9" w:rsidRDefault="00D40CE9" w:rsidP="008971A1">
            <w:pPr>
              <w:jc w:val="center"/>
              <w:rPr>
                <w:b/>
              </w:rPr>
            </w:pPr>
            <w:r>
              <w:rPr>
                <w:b/>
              </w:rPr>
              <w:t>Pre-</w:t>
            </w:r>
            <w:proofErr w:type="spellStart"/>
            <w:r>
              <w:rPr>
                <w:b/>
              </w:rPr>
              <w:t>CHiP</w:t>
            </w:r>
            <w:proofErr w:type="spellEnd"/>
          </w:p>
        </w:tc>
        <w:tc>
          <w:tcPr>
            <w:tcW w:w="1370" w:type="dxa"/>
          </w:tcPr>
          <w:p w:rsidR="00D40CE9" w:rsidRDefault="00D40CE9" w:rsidP="008971A1">
            <w:pPr>
              <w:jc w:val="center"/>
              <w:rPr>
                <w:b/>
              </w:rPr>
            </w:pPr>
            <w:r>
              <w:rPr>
                <w:b/>
              </w:rPr>
              <w:t>Immediately after annual round visit</w:t>
            </w:r>
          </w:p>
          <w:p w:rsidR="00D40CE9" w:rsidRDefault="00D40CE9" w:rsidP="008971A1">
            <w:pPr>
              <w:jc w:val="center"/>
              <w:rPr>
                <w:b/>
              </w:rPr>
            </w:pPr>
            <w:r>
              <w:rPr>
                <w:b/>
              </w:rPr>
              <w:t>(Post-</w:t>
            </w:r>
            <w:proofErr w:type="spellStart"/>
            <w:r>
              <w:rPr>
                <w:b/>
              </w:rPr>
              <w:t>CHiP</w:t>
            </w:r>
            <w:proofErr w:type="spellEnd"/>
            <w:r>
              <w:rPr>
                <w:b/>
              </w:rPr>
              <w:t>)</w:t>
            </w:r>
          </w:p>
        </w:tc>
        <w:tc>
          <w:tcPr>
            <w:tcW w:w="1370" w:type="dxa"/>
          </w:tcPr>
          <w:p w:rsidR="00D40CE9" w:rsidRDefault="00D40CE9" w:rsidP="008971A1">
            <w:pPr>
              <w:jc w:val="center"/>
              <w:rPr>
                <w:b/>
              </w:rPr>
            </w:pPr>
            <w:r>
              <w:rPr>
                <w:b/>
              </w:rPr>
              <w:t>Immediately after annual round visit</w:t>
            </w:r>
          </w:p>
        </w:tc>
        <w:tc>
          <w:tcPr>
            <w:tcW w:w="1128" w:type="dxa"/>
          </w:tcPr>
          <w:p w:rsidR="00D40CE9" w:rsidRDefault="00D40CE9" w:rsidP="008971A1">
            <w:pPr>
              <w:jc w:val="center"/>
              <w:rPr>
                <w:b/>
              </w:rPr>
            </w:pPr>
            <w:r>
              <w:rPr>
                <w:b/>
              </w:rPr>
              <w:t>End round</w:t>
            </w:r>
          </w:p>
        </w:tc>
        <w:tc>
          <w:tcPr>
            <w:tcW w:w="841" w:type="dxa"/>
          </w:tcPr>
          <w:p w:rsidR="00D40CE9" w:rsidRDefault="00D40CE9" w:rsidP="008971A1">
            <w:pPr>
              <w:jc w:val="center"/>
              <w:rPr>
                <w:b/>
              </w:rPr>
            </w:pPr>
          </w:p>
        </w:tc>
        <w:tc>
          <w:tcPr>
            <w:tcW w:w="1126" w:type="dxa"/>
          </w:tcPr>
          <w:p w:rsidR="00D40CE9" w:rsidRDefault="00D40CE9" w:rsidP="008971A1">
            <w:pPr>
              <w:jc w:val="center"/>
              <w:rPr>
                <w:b/>
              </w:rPr>
            </w:pPr>
            <w:r>
              <w:rPr>
                <w:b/>
              </w:rPr>
              <w:t>Pre-</w:t>
            </w:r>
            <w:proofErr w:type="spellStart"/>
            <w:r>
              <w:rPr>
                <w:b/>
              </w:rPr>
              <w:t>CHiP</w:t>
            </w:r>
            <w:proofErr w:type="spellEnd"/>
          </w:p>
        </w:tc>
        <w:tc>
          <w:tcPr>
            <w:tcW w:w="1370" w:type="dxa"/>
          </w:tcPr>
          <w:p w:rsidR="00D40CE9" w:rsidRDefault="00D40CE9" w:rsidP="008971A1">
            <w:pPr>
              <w:jc w:val="center"/>
              <w:rPr>
                <w:b/>
              </w:rPr>
            </w:pPr>
            <w:r>
              <w:rPr>
                <w:b/>
              </w:rPr>
              <w:t>Immediately after annual round visit</w:t>
            </w:r>
          </w:p>
          <w:p w:rsidR="00D40CE9" w:rsidRDefault="00D40CE9" w:rsidP="008971A1">
            <w:pPr>
              <w:jc w:val="center"/>
              <w:rPr>
                <w:b/>
              </w:rPr>
            </w:pPr>
            <w:r>
              <w:rPr>
                <w:b/>
              </w:rPr>
              <w:t>(Post-</w:t>
            </w:r>
            <w:proofErr w:type="spellStart"/>
            <w:r>
              <w:rPr>
                <w:b/>
              </w:rPr>
              <w:t>CHiP</w:t>
            </w:r>
            <w:proofErr w:type="spellEnd"/>
            <w:r>
              <w:rPr>
                <w:b/>
              </w:rPr>
              <w:t>)</w:t>
            </w:r>
          </w:p>
        </w:tc>
        <w:tc>
          <w:tcPr>
            <w:tcW w:w="1370" w:type="dxa"/>
          </w:tcPr>
          <w:p w:rsidR="00D40CE9" w:rsidRDefault="00D40CE9" w:rsidP="008971A1">
            <w:pPr>
              <w:jc w:val="center"/>
              <w:rPr>
                <w:b/>
              </w:rPr>
            </w:pPr>
            <w:r>
              <w:rPr>
                <w:b/>
              </w:rPr>
              <w:t>Immediately after annual round visit</w:t>
            </w:r>
          </w:p>
        </w:tc>
        <w:tc>
          <w:tcPr>
            <w:tcW w:w="1128" w:type="dxa"/>
          </w:tcPr>
          <w:p w:rsidR="00D40CE9" w:rsidRDefault="00D40CE9" w:rsidP="008971A1">
            <w:pPr>
              <w:jc w:val="center"/>
              <w:rPr>
                <w:b/>
              </w:rPr>
            </w:pPr>
            <w:r>
              <w:rPr>
                <w:b/>
              </w:rPr>
              <w:t>End round</w:t>
            </w:r>
          </w:p>
        </w:tc>
      </w:tr>
      <w:tr w:rsidR="00D40CE9" w:rsidTr="008971A1">
        <w:tc>
          <w:tcPr>
            <w:tcW w:w="3369" w:type="dxa"/>
          </w:tcPr>
          <w:p w:rsidR="00D40CE9" w:rsidRPr="00CA4573" w:rsidRDefault="00D40CE9" w:rsidP="008971A1"/>
        </w:tc>
        <w:tc>
          <w:tcPr>
            <w:tcW w:w="843" w:type="dxa"/>
          </w:tcPr>
          <w:p w:rsidR="00D40CE9" w:rsidRDefault="00D40CE9" w:rsidP="008971A1">
            <w:pPr>
              <w:jc w:val="center"/>
              <w:rPr>
                <w:b/>
              </w:rPr>
            </w:pPr>
            <w:r>
              <w:rPr>
                <w:b/>
              </w:rPr>
              <w:t>N</w:t>
            </w:r>
            <w:r w:rsidRPr="003654D1">
              <w:rPr>
                <w:b/>
                <w:vertAlign w:val="superscript"/>
              </w:rPr>
              <w:t>1</w:t>
            </w:r>
          </w:p>
        </w:tc>
        <w:tc>
          <w:tcPr>
            <w:tcW w:w="1126" w:type="dxa"/>
          </w:tcPr>
          <w:p w:rsidR="00D40CE9" w:rsidRDefault="00D40CE9" w:rsidP="008971A1">
            <w:pPr>
              <w:jc w:val="center"/>
              <w:rPr>
                <w:b/>
              </w:rPr>
            </w:pPr>
          </w:p>
        </w:tc>
        <w:tc>
          <w:tcPr>
            <w:tcW w:w="1370" w:type="dxa"/>
          </w:tcPr>
          <w:p w:rsidR="00D40CE9" w:rsidRDefault="00D40CE9" w:rsidP="008971A1">
            <w:pPr>
              <w:jc w:val="center"/>
              <w:rPr>
                <w:b/>
              </w:rPr>
            </w:pPr>
          </w:p>
        </w:tc>
        <w:tc>
          <w:tcPr>
            <w:tcW w:w="1370" w:type="dxa"/>
          </w:tcPr>
          <w:p w:rsidR="00D40CE9" w:rsidRDefault="00D40CE9" w:rsidP="008971A1">
            <w:pPr>
              <w:jc w:val="center"/>
              <w:rPr>
                <w:b/>
              </w:rPr>
            </w:pPr>
          </w:p>
        </w:tc>
        <w:tc>
          <w:tcPr>
            <w:tcW w:w="1128" w:type="dxa"/>
          </w:tcPr>
          <w:p w:rsidR="00D40CE9" w:rsidRDefault="00D40CE9" w:rsidP="008971A1">
            <w:pPr>
              <w:jc w:val="center"/>
              <w:rPr>
                <w:b/>
              </w:rPr>
            </w:pPr>
          </w:p>
        </w:tc>
        <w:tc>
          <w:tcPr>
            <w:tcW w:w="841" w:type="dxa"/>
          </w:tcPr>
          <w:p w:rsidR="00D40CE9" w:rsidRDefault="00D40CE9" w:rsidP="008971A1">
            <w:pPr>
              <w:jc w:val="center"/>
              <w:rPr>
                <w:b/>
              </w:rPr>
            </w:pPr>
            <w:r>
              <w:rPr>
                <w:b/>
              </w:rPr>
              <w:t>N</w:t>
            </w:r>
            <w:r w:rsidRPr="003654D1">
              <w:rPr>
                <w:b/>
                <w:vertAlign w:val="superscript"/>
              </w:rPr>
              <w:t>1</w:t>
            </w:r>
          </w:p>
        </w:tc>
        <w:tc>
          <w:tcPr>
            <w:tcW w:w="1126" w:type="dxa"/>
          </w:tcPr>
          <w:p w:rsidR="00D40CE9" w:rsidRDefault="00D40CE9" w:rsidP="008971A1">
            <w:pPr>
              <w:jc w:val="center"/>
              <w:rPr>
                <w:b/>
              </w:rPr>
            </w:pPr>
          </w:p>
        </w:tc>
        <w:tc>
          <w:tcPr>
            <w:tcW w:w="1370" w:type="dxa"/>
          </w:tcPr>
          <w:p w:rsidR="00D40CE9" w:rsidRDefault="00D40CE9" w:rsidP="008971A1">
            <w:pPr>
              <w:jc w:val="center"/>
              <w:rPr>
                <w:b/>
              </w:rPr>
            </w:pPr>
          </w:p>
        </w:tc>
        <w:tc>
          <w:tcPr>
            <w:tcW w:w="1370" w:type="dxa"/>
          </w:tcPr>
          <w:p w:rsidR="00D40CE9" w:rsidRDefault="00D40CE9" w:rsidP="008971A1">
            <w:pPr>
              <w:jc w:val="center"/>
              <w:rPr>
                <w:b/>
              </w:rPr>
            </w:pPr>
          </w:p>
        </w:tc>
        <w:tc>
          <w:tcPr>
            <w:tcW w:w="1128" w:type="dxa"/>
          </w:tcPr>
          <w:p w:rsidR="00D40CE9" w:rsidRDefault="00D40CE9" w:rsidP="008971A1">
            <w:pPr>
              <w:jc w:val="center"/>
              <w:rPr>
                <w:b/>
              </w:rPr>
            </w:pPr>
          </w:p>
        </w:tc>
      </w:tr>
      <w:tr w:rsidR="00D40CE9" w:rsidTr="008971A1">
        <w:tc>
          <w:tcPr>
            <w:tcW w:w="3369" w:type="dxa"/>
          </w:tcPr>
          <w:p w:rsidR="00D40CE9" w:rsidRPr="00CA4573" w:rsidRDefault="00D40CE9" w:rsidP="008971A1">
            <w:r w:rsidRPr="00CA4573">
              <w:t>Consented to participate</w:t>
            </w:r>
          </w:p>
        </w:tc>
        <w:tc>
          <w:tcPr>
            <w:tcW w:w="843" w:type="dxa"/>
          </w:tcPr>
          <w:p w:rsidR="00D40CE9" w:rsidRDefault="00D40CE9" w:rsidP="008971A1">
            <w:pPr>
              <w:jc w:val="center"/>
              <w:rPr>
                <w:b/>
              </w:rPr>
            </w:pPr>
            <w:r>
              <w:rPr>
                <w:b/>
              </w:rPr>
              <w:t>4662</w:t>
            </w:r>
          </w:p>
        </w:tc>
        <w:tc>
          <w:tcPr>
            <w:tcW w:w="1126" w:type="dxa"/>
          </w:tcPr>
          <w:p w:rsidR="00D40CE9" w:rsidRDefault="00D40CE9" w:rsidP="008971A1">
            <w:pPr>
              <w:jc w:val="center"/>
              <w:rPr>
                <w:b/>
              </w:rPr>
            </w:pPr>
            <w:r>
              <w:rPr>
                <w:b/>
              </w:rPr>
              <w:t>52</w:t>
            </w:r>
          </w:p>
        </w:tc>
        <w:tc>
          <w:tcPr>
            <w:tcW w:w="1370" w:type="dxa"/>
          </w:tcPr>
          <w:p w:rsidR="00D40CE9" w:rsidRDefault="00D40CE9" w:rsidP="008971A1">
            <w:pPr>
              <w:jc w:val="center"/>
              <w:rPr>
                <w:b/>
              </w:rPr>
            </w:pPr>
            <w:r>
              <w:rPr>
                <w:b/>
              </w:rPr>
              <w:t>89</w:t>
            </w:r>
          </w:p>
        </w:tc>
        <w:tc>
          <w:tcPr>
            <w:tcW w:w="1370" w:type="dxa"/>
          </w:tcPr>
          <w:p w:rsidR="00D40CE9" w:rsidRDefault="00D40CE9" w:rsidP="008971A1">
            <w:pPr>
              <w:jc w:val="center"/>
              <w:rPr>
                <w:b/>
              </w:rPr>
            </w:pPr>
            <w:r>
              <w:rPr>
                <w:b/>
              </w:rPr>
              <w:t>47</w:t>
            </w:r>
          </w:p>
        </w:tc>
        <w:tc>
          <w:tcPr>
            <w:tcW w:w="1128" w:type="dxa"/>
          </w:tcPr>
          <w:p w:rsidR="00D40CE9" w:rsidRDefault="00D40CE9" w:rsidP="008971A1">
            <w:pPr>
              <w:jc w:val="center"/>
              <w:rPr>
                <w:b/>
              </w:rPr>
            </w:pPr>
            <w:r>
              <w:rPr>
                <w:b/>
              </w:rPr>
              <w:t>72</w:t>
            </w:r>
          </w:p>
        </w:tc>
        <w:tc>
          <w:tcPr>
            <w:tcW w:w="841" w:type="dxa"/>
          </w:tcPr>
          <w:p w:rsidR="00D40CE9" w:rsidRDefault="00D40CE9" w:rsidP="008971A1">
            <w:pPr>
              <w:jc w:val="center"/>
              <w:rPr>
                <w:b/>
              </w:rPr>
            </w:pPr>
            <w:r>
              <w:rPr>
                <w:b/>
              </w:rPr>
              <w:t>9499</w:t>
            </w:r>
          </w:p>
        </w:tc>
        <w:tc>
          <w:tcPr>
            <w:tcW w:w="1126" w:type="dxa"/>
          </w:tcPr>
          <w:p w:rsidR="00D40CE9" w:rsidRDefault="00D40CE9" w:rsidP="008971A1">
            <w:pPr>
              <w:jc w:val="center"/>
              <w:rPr>
                <w:b/>
              </w:rPr>
            </w:pPr>
            <w:r>
              <w:rPr>
                <w:b/>
              </w:rPr>
              <w:t>56</w:t>
            </w:r>
          </w:p>
        </w:tc>
        <w:tc>
          <w:tcPr>
            <w:tcW w:w="1370" w:type="dxa"/>
          </w:tcPr>
          <w:p w:rsidR="00D40CE9" w:rsidRDefault="00D40CE9" w:rsidP="008971A1">
            <w:pPr>
              <w:jc w:val="center"/>
              <w:rPr>
                <w:b/>
              </w:rPr>
            </w:pPr>
            <w:r>
              <w:rPr>
                <w:b/>
              </w:rPr>
              <w:t>92</w:t>
            </w:r>
          </w:p>
        </w:tc>
        <w:tc>
          <w:tcPr>
            <w:tcW w:w="1370" w:type="dxa"/>
          </w:tcPr>
          <w:p w:rsidR="00D40CE9" w:rsidRDefault="00D40CE9" w:rsidP="008971A1">
            <w:pPr>
              <w:jc w:val="center"/>
              <w:rPr>
                <w:b/>
              </w:rPr>
            </w:pPr>
            <w:r>
              <w:rPr>
                <w:b/>
              </w:rPr>
              <w:t>49</w:t>
            </w:r>
          </w:p>
        </w:tc>
        <w:tc>
          <w:tcPr>
            <w:tcW w:w="1128" w:type="dxa"/>
          </w:tcPr>
          <w:p w:rsidR="00D40CE9" w:rsidRDefault="00D40CE9" w:rsidP="008971A1">
            <w:pPr>
              <w:jc w:val="center"/>
              <w:rPr>
                <w:b/>
              </w:rPr>
            </w:pPr>
            <w:r>
              <w:rPr>
                <w:b/>
              </w:rPr>
              <w:t>72</w:t>
            </w:r>
          </w:p>
        </w:tc>
      </w:tr>
      <w:tr w:rsidR="00D40CE9" w:rsidTr="008971A1">
        <w:tc>
          <w:tcPr>
            <w:tcW w:w="3369" w:type="dxa"/>
          </w:tcPr>
          <w:p w:rsidR="00D40CE9" w:rsidRPr="00927988" w:rsidRDefault="00D40CE9" w:rsidP="008971A1">
            <w:pPr>
              <w:rPr>
                <w:i/>
              </w:rPr>
            </w:pPr>
            <w:r w:rsidRPr="00927988">
              <w:rPr>
                <w:i/>
              </w:rPr>
              <w:t>Range in sensitivity analysis</w:t>
            </w:r>
            <w:r>
              <w:rPr>
                <w:i/>
              </w:rPr>
              <w:t xml:space="preserve"> (1)</w:t>
            </w:r>
            <w:r w:rsidRPr="00927988">
              <w:rPr>
                <w:i/>
                <w:vertAlign w:val="superscript"/>
              </w:rPr>
              <w:t>2</w:t>
            </w:r>
          </w:p>
        </w:tc>
        <w:tc>
          <w:tcPr>
            <w:tcW w:w="843" w:type="dxa"/>
          </w:tcPr>
          <w:p w:rsidR="00D40CE9" w:rsidRPr="00841175" w:rsidRDefault="00D40CE9" w:rsidP="008971A1">
            <w:pPr>
              <w:jc w:val="center"/>
              <w:rPr>
                <w:b/>
                <w:i/>
              </w:rPr>
            </w:pPr>
            <w:r w:rsidRPr="00841175">
              <w:rPr>
                <w:b/>
                <w:i/>
              </w:rPr>
              <w:t>4557</w:t>
            </w:r>
            <w:r>
              <w:rPr>
                <w:b/>
                <w:i/>
              </w:rPr>
              <w:t>-4793</w:t>
            </w:r>
          </w:p>
        </w:tc>
        <w:tc>
          <w:tcPr>
            <w:tcW w:w="1126" w:type="dxa"/>
          </w:tcPr>
          <w:p w:rsidR="00D40CE9" w:rsidRPr="00841175" w:rsidRDefault="00D40CE9" w:rsidP="008971A1">
            <w:pPr>
              <w:jc w:val="center"/>
              <w:rPr>
                <w:b/>
                <w:i/>
              </w:rPr>
            </w:pPr>
            <w:r>
              <w:rPr>
                <w:b/>
                <w:i/>
              </w:rPr>
              <w:t>51-53</w:t>
            </w:r>
          </w:p>
        </w:tc>
        <w:tc>
          <w:tcPr>
            <w:tcW w:w="1370" w:type="dxa"/>
          </w:tcPr>
          <w:p w:rsidR="00D40CE9" w:rsidRPr="00841175" w:rsidRDefault="00D40CE9" w:rsidP="008971A1">
            <w:pPr>
              <w:jc w:val="center"/>
              <w:rPr>
                <w:b/>
                <w:i/>
              </w:rPr>
            </w:pPr>
            <w:r>
              <w:rPr>
                <w:b/>
                <w:i/>
              </w:rPr>
              <w:t>86-91</w:t>
            </w:r>
          </w:p>
        </w:tc>
        <w:tc>
          <w:tcPr>
            <w:tcW w:w="1370" w:type="dxa"/>
          </w:tcPr>
          <w:p w:rsidR="00D40CE9" w:rsidRPr="00841175" w:rsidRDefault="00D40CE9" w:rsidP="008971A1">
            <w:pPr>
              <w:jc w:val="center"/>
              <w:rPr>
                <w:b/>
                <w:i/>
              </w:rPr>
            </w:pPr>
            <w:r>
              <w:rPr>
                <w:b/>
                <w:i/>
              </w:rPr>
              <w:t>47</w:t>
            </w:r>
          </w:p>
        </w:tc>
        <w:tc>
          <w:tcPr>
            <w:tcW w:w="1128" w:type="dxa"/>
          </w:tcPr>
          <w:p w:rsidR="00D40CE9" w:rsidRPr="00841175" w:rsidRDefault="00D40CE9" w:rsidP="008971A1">
            <w:pPr>
              <w:jc w:val="center"/>
              <w:rPr>
                <w:b/>
                <w:i/>
              </w:rPr>
            </w:pPr>
            <w:r>
              <w:rPr>
                <w:b/>
                <w:i/>
              </w:rPr>
              <w:t>72</w:t>
            </w:r>
          </w:p>
        </w:tc>
        <w:tc>
          <w:tcPr>
            <w:tcW w:w="841" w:type="dxa"/>
          </w:tcPr>
          <w:p w:rsidR="00D40CE9" w:rsidRPr="00841175" w:rsidRDefault="00D40CE9" w:rsidP="008971A1">
            <w:pPr>
              <w:jc w:val="center"/>
              <w:rPr>
                <w:b/>
                <w:i/>
              </w:rPr>
            </w:pPr>
            <w:r>
              <w:rPr>
                <w:b/>
                <w:i/>
              </w:rPr>
              <w:t>9340-9699</w:t>
            </w:r>
          </w:p>
        </w:tc>
        <w:tc>
          <w:tcPr>
            <w:tcW w:w="1126" w:type="dxa"/>
          </w:tcPr>
          <w:p w:rsidR="00D40CE9" w:rsidRPr="00841175" w:rsidRDefault="00D40CE9" w:rsidP="008971A1">
            <w:pPr>
              <w:jc w:val="center"/>
              <w:rPr>
                <w:b/>
                <w:i/>
              </w:rPr>
            </w:pPr>
            <w:r>
              <w:rPr>
                <w:b/>
                <w:i/>
              </w:rPr>
              <w:t>55-57</w:t>
            </w:r>
          </w:p>
        </w:tc>
        <w:tc>
          <w:tcPr>
            <w:tcW w:w="1370" w:type="dxa"/>
          </w:tcPr>
          <w:p w:rsidR="00D40CE9" w:rsidRPr="00841175" w:rsidRDefault="00D40CE9" w:rsidP="008971A1">
            <w:pPr>
              <w:jc w:val="center"/>
              <w:rPr>
                <w:b/>
                <w:i/>
              </w:rPr>
            </w:pPr>
            <w:r>
              <w:rPr>
                <w:b/>
                <w:i/>
              </w:rPr>
              <w:t>90-93</w:t>
            </w:r>
          </w:p>
        </w:tc>
        <w:tc>
          <w:tcPr>
            <w:tcW w:w="1370" w:type="dxa"/>
          </w:tcPr>
          <w:p w:rsidR="00D40CE9" w:rsidRPr="00841175" w:rsidRDefault="00D40CE9" w:rsidP="008971A1">
            <w:pPr>
              <w:jc w:val="center"/>
              <w:rPr>
                <w:b/>
                <w:i/>
              </w:rPr>
            </w:pPr>
            <w:r>
              <w:rPr>
                <w:b/>
                <w:i/>
              </w:rPr>
              <w:t>49</w:t>
            </w:r>
          </w:p>
        </w:tc>
        <w:tc>
          <w:tcPr>
            <w:tcW w:w="1128" w:type="dxa"/>
          </w:tcPr>
          <w:p w:rsidR="00D40CE9" w:rsidRPr="00841175" w:rsidRDefault="00D40CE9" w:rsidP="008971A1">
            <w:pPr>
              <w:jc w:val="center"/>
              <w:rPr>
                <w:b/>
                <w:i/>
              </w:rPr>
            </w:pPr>
            <w:r>
              <w:rPr>
                <w:b/>
                <w:i/>
              </w:rPr>
              <w:t>72</w:t>
            </w:r>
          </w:p>
        </w:tc>
      </w:tr>
      <w:tr w:rsidR="00D40CE9" w:rsidTr="008971A1">
        <w:tc>
          <w:tcPr>
            <w:tcW w:w="3369" w:type="dxa"/>
          </w:tcPr>
          <w:p w:rsidR="00D40CE9" w:rsidRPr="008F3F36" w:rsidRDefault="00D40CE9" w:rsidP="008971A1">
            <w:pPr>
              <w:rPr>
                <w:i/>
              </w:rPr>
            </w:pPr>
            <w:r>
              <w:rPr>
                <w:i/>
              </w:rPr>
              <w:t>Range in sensitivity analysis (2)</w:t>
            </w:r>
            <w:r>
              <w:rPr>
                <w:i/>
                <w:vertAlign w:val="superscript"/>
              </w:rPr>
              <w:t>3</w:t>
            </w:r>
          </w:p>
        </w:tc>
        <w:tc>
          <w:tcPr>
            <w:tcW w:w="843" w:type="dxa"/>
          </w:tcPr>
          <w:p w:rsidR="00D40CE9" w:rsidRPr="00841175" w:rsidRDefault="00D40CE9" w:rsidP="008971A1">
            <w:pPr>
              <w:jc w:val="center"/>
              <w:rPr>
                <w:b/>
                <w:i/>
              </w:rPr>
            </w:pPr>
            <w:r>
              <w:rPr>
                <w:b/>
                <w:i/>
              </w:rPr>
              <w:t>5186</w:t>
            </w:r>
          </w:p>
        </w:tc>
        <w:tc>
          <w:tcPr>
            <w:tcW w:w="1126" w:type="dxa"/>
          </w:tcPr>
          <w:p w:rsidR="00D40CE9" w:rsidRDefault="00D40CE9" w:rsidP="008971A1">
            <w:pPr>
              <w:jc w:val="center"/>
              <w:rPr>
                <w:b/>
                <w:i/>
              </w:rPr>
            </w:pPr>
            <w:r>
              <w:rPr>
                <w:b/>
                <w:i/>
              </w:rPr>
              <w:t>58</w:t>
            </w:r>
          </w:p>
        </w:tc>
        <w:tc>
          <w:tcPr>
            <w:tcW w:w="1370" w:type="dxa"/>
          </w:tcPr>
          <w:p w:rsidR="00D40CE9" w:rsidRDefault="00D40CE9" w:rsidP="008971A1">
            <w:pPr>
              <w:jc w:val="center"/>
              <w:rPr>
                <w:b/>
                <w:i/>
              </w:rPr>
            </w:pPr>
            <w:r>
              <w:rPr>
                <w:b/>
                <w:i/>
              </w:rPr>
              <w:t>91</w:t>
            </w:r>
          </w:p>
        </w:tc>
        <w:tc>
          <w:tcPr>
            <w:tcW w:w="1370" w:type="dxa"/>
          </w:tcPr>
          <w:p w:rsidR="00D40CE9" w:rsidRDefault="00D40CE9" w:rsidP="008971A1">
            <w:pPr>
              <w:jc w:val="center"/>
              <w:rPr>
                <w:b/>
                <w:i/>
              </w:rPr>
            </w:pPr>
            <w:r>
              <w:rPr>
                <w:b/>
                <w:i/>
              </w:rPr>
              <w:t>46-51</w:t>
            </w:r>
          </w:p>
        </w:tc>
        <w:tc>
          <w:tcPr>
            <w:tcW w:w="1128" w:type="dxa"/>
          </w:tcPr>
          <w:p w:rsidR="00D40CE9" w:rsidRDefault="00D40CE9" w:rsidP="008971A1">
            <w:pPr>
              <w:jc w:val="center"/>
              <w:rPr>
                <w:b/>
                <w:i/>
              </w:rPr>
            </w:pPr>
            <w:r>
              <w:rPr>
                <w:b/>
                <w:i/>
              </w:rPr>
              <w:t>67-73</w:t>
            </w:r>
          </w:p>
        </w:tc>
        <w:tc>
          <w:tcPr>
            <w:tcW w:w="841" w:type="dxa"/>
          </w:tcPr>
          <w:p w:rsidR="00D40CE9" w:rsidRDefault="00D40CE9" w:rsidP="008971A1">
            <w:pPr>
              <w:jc w:val="center"/>
              <w:rPr>
                <w:b/>
                <w:i/>
              </w:rPr>
            </w:pPr>
            <w:r>
              <w:rPr>
                <w:b/>
                <w:i/>
              </w:rPr>
              <w:t>10297</w:t>
            </w:r>
          </w:p>
        </w:tc>
        <w:tc>
          <w:tcPr>
            <w:tcW w:w="1126" w:type="dxa"/>
          </w:tcPr>
          <w:p w:rsidR="00D40CE9" w:rsidRDefault="00D40CE9" w:rsidP="008971A1">
            <w:pPr>
              <w:jc w:val="center"/>
              <w:rPr>
                <w:b/>
                <w:i/>
              </w:rPr>
            </w:pPr>
            <w:r>
              <w:rPr>
                <w:b/>
                <w:i/>
              </w:rPr>
              <w:t>61</w:t>
            </w:r>
          </w:p>
        </w:tc>
        <w:tc>
          <w:tcPr>
            <w:tcW w:w="1370" w:type="dxa"/>
          </w:tcPr>
          <w:p w:rsidR="00D40CE9" w:rsidRDefault="00D40CE9" w:rsidP="008971A1">
            <w:pPr>
              <w:jc w:val="center"/>
              <w:rPr>
                <w:b/>
                <w:i/>
              </w:rPr>
            </w:pPr>
            <w:r>
              <w:rPr>
                <w:b/>
                <w:i/>
              </w:rPr>
              <w:t>94</w:t>
            </w:r>
          </w:p>
        </w:tc>
        <w:tc>
          <w:tcPr>
            <w:tcW w:w="1370" w:type="dxa"/>
          </w:tcPr>
          <w:p w:rsidR="00D40CE9" w:rsidRDefault="00D40CE9" w:rsidP="008971A1">
            <w:pPr>
              <w:jc w:val="center"/>
              <w:rPr>
                <w:b/>
                <w:i/>
              </w:rPr>
            </w:pPr>
            <w:r>
              <w:rPr>
                <w:b/>
                <w:i/>
              </w:rPr>
              <w:t>49-53</w:t>
            </w:r>
          </w:p>
        </w:tc>
        <w:tc>
          <w:tcPr>
            <w:tcW w:w="1128" w:type="dxa"/>
          </w:tcPr>
          <w:p w:rsidR="00D40CE9" w:rsidRDefault="00D40CE9" w:rsidP="008971A1">
            <w:pPr>
              <w:jc w:val="center"/>
              <w:rPr>
                <w:b/>
                <w:i/>
              </w:rPr>
            </w:pPr>
            <w:r>
              <w:rPr>
                <w:b/>
                <w:i/>
              </w:rPr>
              <w:t>69-73</w:t>
            </w:r>
          </w:p>
        </w:tc>
      </w:tr>
      <w:tr w:rsidR="00D40CE9" w:rsidTr="008971A1">
        <w:tc>
          <w:tcPr>
            <w:tcW w:w="3369" w:type="dxa"/>
          </w:tcPr>
          <w:p w:rsidR="00D40CE9" w:rsidRPr="00CA4573" w:rsidRDefault="00D40CE9" w:rsidP="008971A1">
            <w:r w:rsidRPr="00CA4573">
              <w:t>Extrapolated to total population</w:t>
            </w:r>
          </w:p>
        </w:tc>
        <w:tc>
          <w:tcPr>
            <w:tcW w:w="843" w:type="dxa"/>
          </w:tcPr>
          <w:p w:rsidR="00D40CE9" w:rsidRDefault="00D40CE9" w:rsidP="008971A1">
            <w:pPr>
              <w:jc w:val="center"/>
              <w:rPr>
                <w:b/>
              </w:rPr>
            </w:pPr>
            <w:r>
              <w:rPr>
                <w:b/>
              </w:rPr>
              <w:t>6649</w:t>
            </w:r>
          </w:p>
        </w:tc>
        <w:tc>
          <w:tcPr>
            <w:tcW w:w="1126" w:type="dxa"/>
          </w:tcPr>
          <w:p w:rsidR="00D40CE9" w:rsidRDefault="00D40CE9" w:rsidP="008971A1">
            <w:pPr>
              <w:jc w:val="center"/>
              <w:rPr>
                <w:b/>
              </w:rPr>
            </w:pPr>
            <w:r>
              <w:rPr>
                <w:b/>
              </w:rPr>
              <w:t>52</w:t>
            </w:r>
          </w:p>
        </w:tc>
        <w:tc>
          <w:tcPr>
            <w:tcW w:w="1370" w:type="dxa"/>
          </w:tcPr>
          <w:p w:rsidR="00D40CE9" w:rsidRDefault="00D40CE9" w:rsidP="008971A1">
            <w:pPr>
              <w:jc w:val="center"/>
              <w:rPr>
                <w:b/>
              </w:rPr>
            </w:pPr>
            <w:r>
              <w:rPr>
                <w:b/>
              </w:rPr>
              <w:t>78</w:t>
            </w:r>
          </w:p>
        </w:tc>
        <w:tc>
          <w:tcPr>
            <w:tcW w:w="1370" w:type="dxa"/>
          </w:tcPr>
          <w:p w:rsidR="00D40CE9" w:rsidRDefault="00D40CE9" w:rsidP="008971A1">
            <w:pPr>
              <w:jc w:val="center"/>
              <w:rPr>
                <w:b/>
              </w:rPr>
            </w:pPr>
            <w:r>
              <w:rPr>
                <w:b/>
              </w:rPr>
              <w:t>54</w:t>
            </w:r>
          </w:p>
        </w:tc>
        <w:tc>
          <w:tcPr>
            <w:tcW w:w="1128" w:type="dxa"/>
          </w:tcPr>
          <w:p w:rsidR="00D40CE9" w:rsidRDefault="00D40CE9" w:rsidP="008971A1">
            <w:pPr>
              <w:jc w:val="center"/>
              <w:rPr>
                <w:b/>
              </w:rPr>
            </w:pPr>
            <w:r>
              <w:rPr>
                <w:b/>
              </w:rPr>
              <w:t>74</w:t>
            </w:r>
          </w:p>
        </w:tc>
        <w:tc>
          <w:tcPr>
            <w:tcW w:w="841" w:type="dxa"/>
          </w:tcPr>
          <w:p w:rsidR="00D40CE9" w:rsidRDefault="00D40CE9" w:rsidP="008971A1">
            <w:pPr>
              <w:jc w:val="center"/>
              <w:rPr>
                <w:b/>
              </w:rPr>
            </w:pPr>
            <w:r>
              <w:rPr>
                <w:b/>
              </w:rPr>
              <w:t>11037</w:t>
            </w:r>
          </w:p>
        </w:tc>
        <w:tc>
          <w:tcPr>
            <w:tcW w:w="1126" w:type="dxa"/>
          </w:tcPr>
          <w:p w:rsidR="00D40CE9" w:rsidRDefault="00D40CE9" w:rsidP="008971A1">
            <w:pPr>
              <w:jc w:val="center"/>
              <w:rPr>
                <w:b/>
              </w:rPr>
            </w:pPr>
            <w:r>
              <w:rPr>
                <w:b/>
              </w:rPr>
              <w:t>56</w:t>
            </w:r>
          </w:p>
        </w:tc>
        <w:tc>
          <w:tcPr>
            <w:tcW w:w="1370" w:type="dxa"/>
          </w:tcPr>
          <w:p w:rsidR="00D40CE9" w:rsidRDefault="00D40CE9" w:rsidP="008971A1">
            <w:pPr>
              <w:jc w:val="center"/>
              <w:rPr>
                <w:b/>
              </w:rPr>
            </w:pPr>
            <w:r>
              <w:rPr>
                <w:b/>
              </w:rPr>
              <w:t>87</w:t>
            </w:r>
          </w:p>
        </w:tc>
        <w:tc>
          <w:tcPr>
            <w:tcW w:w="1370" w:type="dxa"/>
          </w:tcPr>
          <w:p w:rsidR="00D40CE9" w:rsidRDefault="00D40CE9" w:rsidP="008971A1">
            <w:pPr>
              <w:jc w:val="center"/>
              <w:rPr>
                <w:b/>
              </w:rPr>
            </w:pPr>
            <w:r>
              <w:rPr>
                <w:b/>
              </w:rPr>
              <w:t>53</w:t>
            </w:r>
          </w:p>
        </w:tc>
        <w:tc>
          <w:tcPr>
            <w:tcW w:w="1128" w:type="dxa"/>
          </w:tcPr>
          <w:p w:rsidR="00D40CE9" w:rsidRDefault="00D40CE9" w:rsidP="008971A1">
            <w:pPr>
              <w:jc w:val="center"/>
              <w:rPr>
                <w:b/>
              </w:rPr>
            </w:pPr>
            <w:r>
              <w:rPr>
                <w:b/>
              </w:rPr>
              <w:t>73</w:t>
            </w:r>
          </w:p>
        </w:tc>
      </w:tr>
      <w:tr w:rsidR="00D40CE9" w:rsidTr="008971A1">
        <w:tc>
          <w:tcPr>
            <w:tcW w:w="3369" w:type="dxa"/>
          </w:tcPr>
          <w:p w:rsidR="00D40CE9" w:rsidRPr="00927988" w:rsidRDefault="00D40CE9" w:rsidP="008971A1">
            <w:pPr>
              <w:rPr>
                <w:i/>
              </w:rPr>
            </w:pPr>
            <w:r w:rsidRPr="00927988">
              <w:rPr>
                <w:i/>
              </w:rPr>
              <w:t>Range in sensitivity analysis</w:t>
            </w:r>
            <w:r>
              <w:rPr>
                <w:i/>
              </w:rPr>
              <w:t xml:space="preserve"> (1)</w:t>
            </w:r>
            <w:r w:rsidRPr="00927988">
              <w:rPr>
                <w:i/>
                <w:vertAlign w:val="superscript"/>
              </w:rPr>
              <w:t>2</w:t>
            </w:r>
          </w:p>
        </w:tc>
        <w:tc>
          <w:tcPr>
            <w:tcW w:w="843" w:type="dxa"/>
          </w:tcPr>
          <w:p w:rsidR="00D40CE9" w:rsidRPr="00841175" w:rsidRDefault="00D40CE9" w:rsidP="008971A1">
            <w:pPr>
              <w:jc w:val="center"/>
              <w:rPr>
                <w:b/>
                <w:i/>
              </w:rPr>
            </w:pPr>
            <w:r>
              <w:rPr>
                <w:b/>
                <w:i/>
              </w:rPr>
              <w:t>6112-7345</w:t>
            </w:r>
          </w:p>
        </w:tc>
        <w:tc>
          <w:tcPr>
            <w:tcW w:w="1126" w:type="dxa"/>
          </w:tcPr>
          <w:p w:rsidR="00D40CE9" w:rsidRPr="00841175" w:rsidRDefault="00D40CE9" w:rsidP="008971A1">
            <w:pPr>
              <w:jc w:val="center"/>
              <w:rPr>
                <w:b/>
                <w:i/>
              </w:rPr>
            </w:pPr>
            <w:r>
              <w:rPr>
                <w:b/>
                <w:i/>
              </w:rPr>
              <w:t>47-58</w:t>
            </w:r>
          </w:p>
        </w:tc>
        <w:tc>
          <w:tcPr>
            <w:tcW w:w="1370" w:type="dxa"/>
          </w:tcPr>
          <w:p w:rsidR="00D40CE9" w:rsidRPr="00841175" w:rsidRDefault="00D40CE9" w:rsidP="008971A1">
            <w:pPr>
              <w:jc w:val="center"/>
              <w:rPr>
                <w:b/>
                <w:i/>
              </w:rPr>
            </w:pPr>
            <w:r>
              <w:rPr>
                <w:b/>
                <w:i/>
              </w:rPr>
              <w:t>70-84</w:t>
            </w:r>
          </w:p>
        </w:tc>
        <w:tc>
          <w:tcPr>
            <w:tcW w:w="1370" w:type="dxa"/>
          </w:tcPr>
          <w:p w:rsidR="00D40CE9" w:rsidRPr="00841175" w:rsidRDefault="00D40CE9" w:rsidP="008971A1">
            <w:pPr>
              <w:jc w:val="center"/>
              <w:rPr>
                <w:b/>
                <w:i/>
              </w:rPr>
            </w:pPr>
            <w:r>
              <w:rPr>
                <w:b/>
                <w:i/>
              </w:rPr>
              <w:t>49-61</w:t>
            </w:r>
          </w:p>
        </w:tc>
        <w:tc>
          <w:tcPr>
            <w:tcW w:w="1128" w:type="dxa"/>
          </w:tcPr>
          <w:p w:rsidR="00D40CE9" w:rsidRPr="00841175" w:rsidRDefault="00D40CE9" w:rsidP="008971A1">
            <w:pPr>
              <w:jc w:val="center"/>
              <w:rPr>
                <w:b/>
                <w:i/>
              </w:rPr>
            </w:pPr>
            <w:r>
              <w:rPr>
                <w:b/>
                <w:i/>
              </w:rPr>
              <w:t>70-79</w:t>
            </w:r>
          </w:p>
        </w:tc>
        <w:tc>
          <w:tcPr>
            <w:tcW w:w="841" w:type="dxa"/>
          </w:tcPr>
          <w:p w:rsidR="00D40CE9" w:rsidRPr="00841175" w:rsidRDefault="00D40CE9" w:rsidP="008971A1">
            <w:pPr>
              <w:jc w:val="center"/>
              <w:rPr>
                <w:b/>
                <w:i/>
              </w:rPr>
            </w:pPr>
            <w:r>
              <w:rPr>
                <w:b/>
                <w:i/>
              </w:rPr>
              <w:t>10549-11662</w:t>
            </w:r>
          </w:p>
        </w:tc>
        <w:tc>
          <w:tcPr>
            <w:tcW w:w="1126" w:type="dxa"/>
          </w:tcPr>
          <w:p w:rsidR="00D40CE9" w:rsidRPr="00841175" w:rsidRDefault="00D40CE9" w:rsidP="008971A1">
            <w:pPr>
              <w:jc w:val="center"/>
              <w:rPr>
                <w:b/>
                <w:i/>
              </w:rPr>
            </w:pPr>
            <w:r>
              <w:rPr>
                <w:b/>
                <w:i/>
              </w:rPr>
              <w:t>53-60</w:t>
            </w:r>
          </w:p>
        </w:tc>
        <w:tc>
          <w:tcPr>
            <w:tcW w:w="1370" w:type="dxa"/>
          </w:tcPr>
          <w:p w:rsidR="00D40CE9" w:rsidRPr="00841175" w:rsidRDefault="00D40CE9" w:rsidP="008971A1">
            <w:pPr>
              <w:jc w:val="center"/>
              <w:rPr>
                <w:b/>
                <w:i/>
              </w:rPr>
            </w:pPr>
            <w:r>
              <w:rPr>
                <w:b/>
                <w:i/>
              </w:rPr>
              <w:t>82-91</w:t>
            </w:r>
          </w:p>
        </w:tc>
        <w:tc>
          <w:tcPr>
            <w:tcW w:w="1370" w:type="dxa"/>
          </w:tcPr>
          <w:p w:rsidR="00D40CE9" w:rsidRPr="00841175" w:rsidRDefault="00D40CE9" w:rsidP="008971A1">
            <w:pPr>
              <w:jc w:val="center"/>
              <w:rPr>
                <w:b/>
                <w:i/>
              </w:rPr>
            </w:pPr>
            <w:r>
              <w:rPr>
                <w:b/>
                <w:i/>
              </w:rPr>
              <w:t>50-56</w:t>
            </w:r>
          </w:p>
        </w:tc>
        <w:tc>
          <w:tcPr>
            <w:tcW w:w="1128" w:type="dxa"/>
          </w:tcPr>
          <w:p w:rsidR="00D40CE9" w:rsidRPr="00841175" w:rsidRDefault="00D40CE9" w:rsidP="008971A1">
            <w:pPr>
              <w:jc w:val="center"/>
              <w:rPr>
                <w:b/>
                <w:i/>
              </w:rPr>
            </w:pPr>
            <w:r>
              <w:rPr>
                <w:b/>
                <w:i/>
              </w:rPr>
              <w:t>72-76</w:t>
            </w:r>
          </w:p>
        </w:tc>
      </w:tr>
      <w:tr w:rsidR="00D40CE9" w:rsidTr="008971A1">
        <w:tc>
          <w:tcPr>
            <w:tcW w:w="3369" w:type="dxa"/>
          </w:tcPr>
          <w:p w:rsidR="00D40CE9" w:rsidRPr="008F3F36" w:rsidRDefault="00D40CE9" w:rsidP="008971A1">
            <w:pPr>
              <w:rPr>
                <w:i/>
                <w:vertAlign w:val="superscript"/>
              </w:rPr>
            </w:pPr>
            <w:r>
              <w:rPr>
                <w:i/>
              </w:rPr>
              <w:t>Range in sensitivity analysis (2)</w:t>
            </w:r>
            <w:r>
              <w:rPr>
                <w:i/>
                <w:vertAlign w:val="superscript"/>
              </w:rPr>
              <w:t>3</w:t>
            </w:r>
          </w:p>
        </w:tc>
        <w:tc>
          <w:tcPr>
            <w:tcW w:w="843" w:type="dxa"/>
          </w:tcPr>
          <w:p w:rsidR="00D40CE9" w:rsidRDefault="00D40CE9" w:rsidP="008971A1">
            <w:pPr>
              <w:jc w:val="center"/>
              <w:rPr>
                <w:b/>
                <w:i/>
              </w:rPr>
            </w:pPr>
            <w:r>
              <w:rPr>
                <w:b/>
                <w:i/>
              </w:rPr>
              <w:t>7390</w:t>
            </w:r>
          </w:p>
        </w:tc>
        <w:tc>
          <w:tcPr>
            <w:tcW w:w="1126" w:type="dxa"/>
          </w:tcPr>
          <w:p w:rsidR="00D40CE9" w:rsidRDefault="00D40CE9" w:rsidP="008971A1">
            <w:pPr>
              <w:jc w:val="center"/>
              <w:rPr>
                <w:b/>
                <w:i/>
              </w:rPr>
            </w:pPr>
            <w:r>
              <w:rPr>
                <w:b/>
                <w:i/>
              </w:rPr>
              <w:t>58</w:t>
            </w:r>
          </w:p>
        </w:tc>
        <w:tc>
          <w:tcPr>
            <w:tcW w:w="1370" w:type="dxa"/>
          </w:tcPr>
          <w:p w:rsidR="00D40CE9" w:rsidRDefault="00D40CE9" w:rsidP="008971A1">
            <w:pPr>
              <w:jc w:val="center"/>
              <w:rPr>
                <w:b/>
                <w:i/>
              </w:rPr>
            </w:pPr>
            <w:r>
              <w:rPr>
                <w:b/>
                <w:i/>
              </w:rPr>
              <w:t>81</w:t>
            </w:r>
          </w:p>
        </w:tc>
        <w:tc>
          <w:tcPr>
            <w:tcW w:w="1370" w:type="dxa"/>
          </w:tcPr>
          <w:p w:rsidR="00D40CE9" w:rsidRDefault="00D40CE9" w:rsidP="008971A1">
            <w:pPr>
              <w:jc w:val="center"/>
              <w:rPr>
                <w:b/>
                <w:i/>
              </w:rPr>
            </w:pPr>
            <w:r>
              <w:rPr>
                <w:b/>
                <w:i/>
              </w:rPr>
              <w:t>52-57</w:t>
            </w:r>
          </w:p>
        </w:tc>
        <w:tc>
          <w:tcPr>
            <w:tcW w:w="1128" w:type="dxa"/>
          </w:tcPr>
          <w:p w:rsidR="00D40CE9" w:rsidRDefault="00D40CE9" w:rsidP="008971A1">
            <w:pPr>
              <w:jc w:val="center"/>
              <w:rPr>
                <w:b/>
                <w:i/>
              </w:rPr>
            </w:pPr>
            <w:r>
              <w:rPr>
                <w:b/>
                <w:i/>
              </w:rPr>
              <w:t>69-74</w:t>
            </w:r>
          </w:p>
        </w:tc>
        <w:tc>
          <w:tcPr>
            <w:tcW w:w="841" w:type="dxa"/>
          </w:tcPr>
          <w:p w:rsidR="00D40CE9" w:rsidRDefault="00D40CE9" w:rsidP="008971A1">
            <w:pPr>
              <w:jc w:val="center"/>
              <w:rPr>
                <w:b/>
                <w:i/>
              </w:rPr>
            </w:pPr>
            <w:r>
              <w:rPr>
                <w:b/>
                <w:i/>
              </w:rPr>
              <w:t>11965</w:t>
            </w:r>
          </w:p>
        </w:tc>
        <w:tc>
          <w:tcPr>
            <w:tcW w:w="1126" w:type="dxa"/>
          </w:tcPr>
          <w:p w:rsidR="00D40CE9" w:rsidRDefault="00D40CE9" w:rsidP="008971A1">
            <w:pPr>
              <w:jc w:val="center"/>
              <w:rPr>
                <w:b/>
                <w:i/>
              </w:rPr>
            </w:pPr>
            <w:r>
              <w:rPr>
                <w:b/>
                <w:i/>
              </w:rPr>
              <w:t>61</w:t>
            </w:r>
          </w:p>
        </w:tc>
        <w:tc>
          <w:tcPr>
            <w:tcW w:w="1370" w:type="dxa"/>
          </w:tcPr>
          <w:p w:rsidR="00D40CE9" w:rsidRDefault="00D40CE9" w:rsidP="008971A1">
            <w:pPr>
              <w:jc w:val="center"/>
              <w:rPr>
                <w:b/>
                <w:i/>
              </w:rPr>
            </w:pPr>
            <w:r>
              <w:rPr>
                <w:b/>
                <w:i/>
              </w:rPr>
              <w:t>90</w:t>
            </w:r>
          </w:p>
        </w:tc>
        <w:tc>
          <w:tcPr>
            <w:tcW w:w="1370" w:type="dxa"/>
          </w:tcPr>
          <w:p w:rsidR="00D40CE9" w:rsidRDefault="00D40CE9" w:rsidP="008971A1">
            <w:pPr>
              <w:jc w:val="center"/>
              <w:rPr>
                <w:b/>
                <w:i/>
              </w:rPr>
            </w:pPr>
            <w:r>
              <w:rPr>
                <w:b/>
                <w:i/>
              </w:rPr>
              <w:t>51-55</w:t>
            </w:r>
          </w:p>
        </w:tc>
        <w:tc>
          <w:tcPr>
            <w:tcW w:w="1128" w:type="dxa"/>
          </w:tcPr>
          <w:p w:rsidR="00D40CE9" w:rsidRDefault="00D40CE9" w:rsidP="008971A1">
            <w:pPr>
              <w:jc w:val="center"/>
              <w:rPr>
                <w:b/>
                <w:i/>
              </w:rPr>
            </w:pPr>
            <w:r>
              <w:rPr>
                <w:b/>
                <w:i/>
              </w:rPr>
              <w:t>70-74</w:t>
            </w:r>
          </w:p>
        </w:tc>
      </w:tr>
    </w:tbl>
    <w:p w:rsidR="00E62E95" w:rsidRDefault="00D40CE9" w:rsidP="00D40CE9">
      <w:pPr>
        <w:rPr>
          <w:noProof/>
          <w:lang w:eastAsia="en-GB"/>
        </w:rPr>
      </w:pPr>
      <w:r w:rsidRPr="002B6378">
        <w:rPr>
          <w:noProof/>
          <w:vertAlign w:val="superscript"/>
          <w:lang w:eastAsia="en-GB"/>
        </w:rPr>
        <w:t>1</w:t>
      </w:r>
      <w:r>
        <w:rPr>
          <w:noProof/>
          <w:lang w:eastAsia="en-GB"/>
        </w:rPr>
        <w:t xml:space="preserve"> Estimated number of HIV-positive adults in total adult population, with extrapolation for (1) adults who participated but whose HIV status is not known to the CHiPs (2) adults who did not participate</w:t>
      </w:r>
    </w:p>
    <w:p w:rsidR="00E62E95" w:rsidRDefault="00D40CE9" w:rsidP="00D40CE9">
      <w:pPr>
        <w:rPr>
          <w:i/>
        </w:rPr>
      </w:pPr>
      <w:r w:rsidRPr="00927988">
        <w:rPr>
          <w:i/>
          <w:vertAlign w:val="superscript"/>
        </w:rPr>
        <w:t>2</w:t>
      </w:r>
      <w:r>
        <w:rPr>
          <w:i/>
          <w:vertAlign w:val="superscript"/>
        </w:rPr>
        <w:t xml:space="preserve"> </w:t>
      </w:r>
      <w:r>
        <w:rPr>
          <w:i/>
        </w:rPr>
        <w:t xml:space="preserve">Sensitivity analysis (1) across 4 key assumptions: (A) HIV prevalence among adults who participated but their HIV status is not known to </w:t>
      </w:r>
      <w:proofErr w:type="spellStart"/>
      <w:r>
        <w:rPr>
          <w:i/>
        </w:rPr>
        <w:t>CHiPs</w:t>
      </w:r>
      <w:proofErr w:type="spellEnd"/>
      <w:r>
        <w:rPr>
          <w:i/>
        </w:rPr>
        <w:t>. Central estimate = HIV prevalence among those who participated and accepted HIV testing; (B) HIV prevalence among adults who did not participate. Central estimate = HIV prevalence among those who participated (C) Percentage of HIV+ adults who know their HIV+ status, among HIV+ adults who did not participate. Central estimate = Percentage of HIV+ adults who self-reported they were HIV-positive at annual round visit, among those who participated (D) Percentage of HIV+ adults who are on ART, among HIV+ adults who know their HIV+ status and did not participate. Central estimate = Percentage of HIV+ adults who were on ART at time of annual round visit, among those who participated and self-reported they were HIV-positive. All of (A)-(D) are varied in a range 1.25 times lower or higher than the central estimate. In the supplementary tables, the sensitivity analysis is applied as follows: (A) to Table 1 column F; (B) to Table 3 Column E; (C) to Table 3 Column F; and (D) to Table 4 Column A</w:t>
      </w:r>
    </w:p>
    <w:p w:rsidR="00D40CE9" w:rsidRPr="00C13C19" w:rsidRDefault="00D40CE9" w:rsidP="00D40CE9">
      <w:pPr>
        <w:rPr>
          <w:i/>
        </w:rPr>
      </w:pPr>
      <w:r>
        <w:rPr>
          <w:i/>
          <w:vertAlign w:val="superscript"/>
        </w:rPr>
        <w:t>3</w:t>
      </w:r>
      <w:r>
        <w:rPr>
          <w:i/>
        </w:rPr>
        <w:t xml:space="preserve"> Sensitivity analysis (2): Among adults who participated but their HIV status is not known to </w:t>
      </w:r>
      <w:proofErr w:type="spellStart"/>
      <w:r>
        <w:rPr>
          <w:i/>
        </w:rPr>
        <w:t>CHiPs</w:t>
      </w:r>
      <w:proofErr w:type="spellEnd"/>
      <w:r>
        <w:rPr>
          <w:i/>
        </w:rPr>
        <w:t xml:space="preserve">, HIV prevalence is assumed to be twice the value observed among adults who accepted the offer of HIV testing from </w:t>
      </w:r>
      <w:proofErr w:type="spellStart"/>
      <w:r>
        <w:rPr>
          <w:i/>
        </w:rPr>
        <w:t>CHiPs</w:t>
      </w:r>
      <w:proofErr w:type="spellEnd"/>
      <w:r>
        <w:rPr>
          <w:i/>
        </w:rPr>
        <w:t xml:space="preserve">. Among adults whose HIV status is not known to </w:t>
      </w:r>
      <w:proofErr w:type="spellStart"/>
      <w:r>
        <w:rPr>
          <w:i/>
        </w:rPr>
        <w:t>CHiPs</w:t>
      </w:r>
      <w:proofErr w:type="spellEnd"/>
      <w:r>
        <w:rPr>
          <w:i/>
        </w:rPr>
        <w:t xml:space="preserve">, and are HIV-positive, the </w:t>
      </w:r>
      <w:r>
        <w:rPr>
          <w:i/>
        </w:rPr>
        <w:lastRenderedPageBreak/>
        <w:t xml:space="preserve">percentage who know their HIV+ status is assumed to be the same as for adults whose HIV status is known to </w:t>
      </w:r>
      <w:proofErr w:type="spellStart"/>
      <w:r>
        <w:rPr>
          <w:i/>
        </w:rPr>
        <w:t>CHiPs</w:t>
      </w:r>
      <w:proofErr w:type="spellEnd"/>
      <w:r>
        <w:rPr>
          <w:i/>
        </w:rPr>
        <w:t xml:space="preserve"> i.e. equal to (self-reported HIV+ to </w:t>
      </w:r>
      <w:proofErr w:type="spellStart"/>
      <w:r>
        <w:rPr>
          <w:i/>
        </w:rPr>
        <w:t>CHiPs</w:t>
      </w:r>
      <w:proofErr w:type="spellEnd"/>
      <w:r>
        <w:rPr>
          <w:i/>
        </w:rPr>
        <w:t xml:space="preserve"> / total known by the </w:t>
      </w:r>
      <w:proofErr w:type="spellStart"/>
      <w:r>
        <w:rPr>
          <w:i/>
        </w:rPr>
        <w:t>CHiPs</w:t>
      </w:r>
      <w:proofErr w:type="spellEnd"/>
      <w:r>
        <w:rPr>
          <w:i/>
        </w:rPr>
        <w:t xml:space="preserve"> to be HIV+). Among adults who know their HIV+ status, two alternative assumptions are made for the percentage who were on ART at the time of the annual round visit (a) the percentage on ART is the same as for adults who self-reported to </w:t>
      </w:r>
      <w:proofErr w:type="spellStart"/>
      <w:r>
        <w:rPr>
          <w:i/>
        </w:rPr>
        <w:t>CHiPs</w:t>
      </w:r>
      <w:proofErr w:type="spellEnd"/>
      <w:r>
        <w:rPr>
          <w:i/>
        </w:rPr>
        <w:t xml:space="preserve"> that they were HIV+ (b) the percentage on ART is half the value for adults who self-reported to </w:t>
      </w:r>
      <w:proofErr w:type="spellStart"/>
      <w:r>
        <w:rPr>
          <w:i/>
        </w:rPr>
        <w:t>CHiPs</w:t>
      </w:r>
      <w:proofErr w:type="spellEnd"/>
      <w:r>
        <w:rPr>
          <w:i/>
        </w:rPr>
        <w:t xml:space="preserve"> that they were HIV+</w:t>
      </w:r>
    </w:p>
    <w:p w:rsidR="00D40CE9" w:rsidRDefault="00D40CE9"/>
    <w:sectPr w:rsidR="00D40CE9" w:rsidSect="00ED543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C"/>
    <w:rsid w:val="00010127"/>
    <w:rsid w:val="00044ACA"/>
    <w:rsid w:val="00046230"/>
    <w:rsid w:val="000F693F"/>
    <w:rsid w:val="001631A2"/>
    <w:rsid w:val="00186000"/>
    <w:rsid w:val="00196A9C"/>
    <w:rsid w:val="001B0974"/>
    <w:rsid w:val="001B6448"/>
    <w:rsid w:val="00230590"/>
    <w:rsid w:val="00244635"/>
    <w:rsid w:val="002537E8"/>
    <w:rsid w:val="0027299E"/>
    <w:rsid w:val="00275CF0"/>
    <w:rsid w:val="002C606E"/>
    <w:rsid w:val="002D6093"/>
    <w:rsid w:val="00321B60"/>
    <w:rsid w:val="003A6981"/>
    <w:rsid w:val="003C7D5C"/>
    <w:rsid w:val="00425A3E"/>
    <w:rsid w:val="004806F4"/>
    <w:rsid w:val="00503961"/>
    <w:rsid w:val="00511AC4"/>
    <w:rsid w:val="0059424D"/>
    <w:rsid w:val="005A2878"/>
    <w:rsid w:val="005D15D5"/>
    <w:rsid w:val="00614AF2"/>
    <w:rsid w:val="00631D75"/>
    <w:rsid w:val="00657BAC"/>
    <w:rsid w:val="0068111C"/>
    <w:rsid w:val="00691959"/>
    <w:rsid w:val="00697634"/>
    <w:rsid w:val="006A77E4"/>
    <w:rsid w:val="00793DB3"/>
    <w:rsid w:val="007960FD"/>
    <w:rsid w:val="007D3B35"/>
    <w:rsid w:val="007E6E3A"/>
    <w:rsid w:val="007F1467"/>
    <w:rsid w:val="008279FB"/>
    <w:rsid w:val="00843E35"/>
    <w:rsid w:val="008779E7"/>
    <w:rsid w:val="009043EF"/>
    <w:rsid w:val="00905757"/>
    <w:rsid w:val="0091065E"/>
    <w:rsid w:val="0092036A"/>
    <w:rsid w:val="009335AD"/>
    <w:rsid w:val="009964A4"/>
    <w:rsid w:val="009B43F8"/>
    <w:rsid w:val="009D1146"/>
    <w:rsid w:val="009D550C"/>
    <w:rsid w:val="009D6EC3"/>
    <w:rsid w:val="009E4875"/>
    <w:rsid w:val="00A6187F"/>
    <w:rsid w:val="00B05339"/>
    <w:rsid w:val="00B32F7C"/>
    <w:rsid w:val="00B44EAC"/>
    <w:rsid w:val="00B5778F"/>
    <w:rsid w:val="00B9015B"/>
    <w:rsid w:val="00C345C9"/>
    <w:rsid w:val="00C35C7D"/>
    <w:rsid w:val="00C556B7"/>
    <w:rsid w:val="00C56192"/>
    <w:rsid w:val="00C70A68"/>
    <w:rsid w:val="00C749E4"/>
    <w:rsid w:val="00C8289E"/>
    <w:rsid w:val="00CC1FFE"/>
    <w:rsid w:val="00D40CE9"/>
    <w:rsid w:val="00D47CF9"/>
    <w:rsid w:val="00D55010"/>
    <w:rsid w:val="00E00398"/>
    <w:rsid w:val="00E32C08"/>
    <w:rsid w:val="00E62E95"/>
    <w:rsid w:val="00E91A3F"/>
    <w:rsid w:val="00ED543C"/>
    <w:rsid w:val="00F11255"/>
    <w:rsid w:val="00F87092"/>
    <w:rsid w:val="00FE1AC4"/>
    <w:rsid w:val="00FE6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8C3CD-623E-44EC-AC78-C73CD221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CF9"/>
    <w:rPr>
      <w:sz w:val="16"/>
      <w:szCs w:val="16"/>
    </w:rPr>
  </w:style>
  <w:style w:type="paragraph" w:styleId="CommentText">
    <w:name w:val="annotation text"/>
    <w:basedOn w:val="Normal"/>
    <w:link w:val="CommentTextChar"/>
    <w:uiPriority w:val="99"/>
    <w:semiHidden/>
    <w:unhideWhenUsed/>
    <w:rsid w:val="00D47CF9"/>
    <w:pPr>
      <w:spacing w:line="240" w:lineRule="auto"/>
    </w:pPr>
    <w:rPr>
      <w:sz w:val="20"/>
      <w:szCs w:val="20"/>
    </w:rPr>
  </w:style>
  <w:style w:type="character" w:customStyle="1" w:styleId="CommentTextChar">
    <w:name w:val="Comment Text Char"/>
    <w:basedOn w:val="DefaultParagraphFont"/>
    <w:link w:val="CommentText"/>
    <w:uiPriority w:val="99"/>
    <w:semiHidden/>
    <w:rsid w:val="00D47CF9"/>
    <w:rPr>
      <w:sz w:val="20"/>
      <w:szCs w:val="20"/>
    </w:rPr>
  </w:style>
  <w:style w:type="paragraph" w:styleId="CommentSubject">
    <w:name w:val="annotation subject"/>
    <w:basedOn w:val="CommentText"/>
    <w:next w:val="CommentText"/>
    <w:link w:val="CommentSubjectChar"/>
    <w:uiPriority w:val="99"/>
    <w:semiHidden/>
    <w:unhideWhenUsed/>
    <w:rsid w:val="00D47CF9"/>
    <w:rPr>
      <w:b/>
      <w:bCs/>
    </w:rPr>
  </w:style>
  <w:style w:type="character" w:customStyle="1" w:styleId="CommentSubjectChar">
    <w:name w:val="Comment Subject Char"/>
    <w:basedOn w:val="CommentTextChar"/>
    <w:link w:val="CommentSubject"/>
    <w:uiPriority w:val="99"/>
    <w:semiHidden/>
    <w:rsid w:val="00D47CF9"/>
    <w:rPr>
      <w:b/>
      <w:bCs/>
      <w:sz w:val="20"/>
      <w:szCs w:val="20"/>
    </w:rPr>
  </w:style>
  <w:style w:type="paragraph" w:styleId="BalloonText">
    <w:name w:val="Balloon Text"/>
    <w:basedOn w:val="Normal"/>
    <w:link w:val="BalloonTextChar"/>
    <w:uiPriority w:val="99"/>
    <w:semiHidden/>
    <w:unhideWhenUsed/>
    <w:rsid w:val="00D47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3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Floyd</dc:creator>
  <cp:lastModifiedBy>Richard Hayes</cp:lastModifiedBy>
  <cp:revision>2</cp:revision>
  <cp:lastPrinted>2016-11-11T15:06:00Z</cp:lastPrinted>
  <dcterms:created xsi:type="dcterms:W3CDTF">2017-04-06T11:04:00Z</dcterms:created>
  <dcterms:modified xsi:type="dcterms:W3CDTF">2017-04-06T11:04:00Z</dcterms:modified>
</cp:coreProperties>
</file>